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FC" w:rsidRPr="00765351" w:rsidRDefault="002704FC" w:rsidP="002704FC">
      <w:pPr>
        <w:jc w:val="center"/>
      </w:pPr>
      <w:r w:rsidRPr="00765351">
        <w:rPr>
          <w:rFonts w:cs="Arial"/>
          <w:b/>
          <w:bCs/>
        </w:rPr>
        <w:t>United Nations Development Programme</w:t>
      </w:r>
      <w:r w:rsidRPr="00765351">
        <w:rPr>
          <w:noProof/>
          <w:sz w:val="20"/>
        </w:rPr>
        <w:t xml:space="preserve"> </w:t>
      </w:r>
      <w:r w:rsidR="00DC0A9D">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2pt;margin-top:-53.8pt;width:37.55pt;height:81pt;z-index:251658240;mso-wrap-edited:f;mso-position-horizontal-relative:text;mso-position-vertical-relative:text" wrapcoords="-179 0 -179 21488 21600 21488 21600 0 -179 0">
            <v:imagedata r:id="rId7" o:title=""/>
            <w10:wrap type="tight"/>
          </v:shape>
          <o:OLEObject Type="Embed" ProgID="MSPhotoEd.3" ShapeID="_x0000_s1026" DrawAspect="Content" ObjectID="_1565780526" r:id="rId8"/>
        </w:object>
      </w:r>
    </w:p>
    <w:p w:rsidR="002704FC" w:rsidRPr="00D52D8B" w:rsidRDefault="000C11C3" w:rsidP="00750E67">
      <w:pPr>
        <w:jc w:val="center"/>
        <w:rPr>
          <w:rFonts w:cstheme="minorHAnsi"/>
          <w:b/>
          <w:u w:val="single"/>
        </w:rPr>
      </w:pPr>
      <w:r>
        <w:rPr>
          <w:rFonts w:cstheme="minorHAnsi"/>
          <w:b/>
          <w:u w:val="single"/>
        </w:rPr>
        <w:t>BTOR-Field Trips-Town Hall Meetings on Bail and Sentencing-25-30 July, 2017</w:t>
      </w:r>
    </w:p>
    <w:tbl>
      <w:tblPr>
        <w:tblW w:w="98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408"/>
      </w:tblGrid>
      <w:tr w:rsidR="002704FC" w:rsidRPr="00D52D8B" w:rsidTr="000C11C3">
        <w:trPr>
          <w:trHeight w:val="597"/>
        </w:trPr>
        <w:tc>
          <w:tcPr>
            <w:tcW w:w="5463" w:type="dxa"/>
            <w:shd w:val="clear" w:color="auto" w:fill="auto"/>
          </w:tcPr>
          <w:p w:rsidR="002704FC" w:rsidRPr="00D52D8B" w:rsidRDefault="002704FC" w:rsidP="002704FC">
            <w:pPr>
              <w:spacing w:after="0"/>
              <w:rPr>
                <w:rFonts w:cstheme="minorHAnsi"/>
              </w:rPr>
            </w:pPr>
            <w:r w:rsidRPr="00D52D8B">
              <w:rPr>
                <w:rFonts w:cstheme="minorHAnsi"/>
                <w:b/>
              </w:rPr>
              <w:t xml:space="preserve">Purpose of Mission: </w:t>
            </w:r>
            <w:r w:rsidR="000C11C3">
              <w:rPr>
                <w:rFonts w:cstheme="minorHAnsi"/>
                <w:b/>
              </w:rPr>
              <w:t>to p</w:t>
            </w:r>
            <w:r w:rsidR="001B4A57" w:rsidRPr="00D52D8B">
              <w:rPr>
                <w:rFonts w:cstheme="minorHAnsi"/>
              </w:rPr>
              <w:t>articipate and m</w:t>
            </w:r>
            <w:r w:rsidR="001360DF" w:rsidRPr="00D52D8B">
              <w:rPr>
                <w:rFonts w:cstheme="minorHAnsi"/>
              </w:rPr>
              <w:t xml:space="preserve">onitor the </w:t>
            </w:r>
            <w:r w:rsidR="00357EB1" w:rsidRPr="00D52D8B">
              <w:rPr>
                <w:rFonts w:cstheme="minorHAnsi"/>
              </w:rPr>
              <w:t xml:space="preserve">Judiciary Town Hall Meetings under the </w:t>
            </w:r>
            <w:r w:rsidR="001360DF" w:rsidRPr="00D52D8B">
              <w:rPr>
                <w:rFonts w:cstheme="minorHAnsi"/>
              </w:rPr>
              <w:t>Bail and Sentencing</w:t>
            </w:r>
            <w:r w:rsidR="000C11C3">
              <w:rPr>
                <w:rFonts w:cstheme="minorHAnsi"/>
              </w:rPr>
              <w:t xml:space="preserve"> P</w:t>
            </w:r>
            <w:r w:rsidR="001360DF" w:rsidRPr="00D52D8B">
              <w:rPr>
                <w:rFonts w:cstheme="minorHAnsi"/>
              </w:rPr>
              <w:t xml:space="preserve">roject </w:t>
            </w:r>
          </w:p>
          <w:p w:rsidR="002704FC" w:rsidRPr="00D52D8B" w:rsidRDefault="002704FC" w:rsidP="002704FC">
            <w:pPr>
              <w:rPr>
                <w:rFonts w:cstheme="minorHAnsi"/>
                <w:bCs/>
              </w:rPr>
            </w:pPr>
          </w:p>
        </w:tc>
        <w:tc>
          <w:tcPr>
            <w:tcW w:w="4408" w:type="dxa"/>
            <w:shd w:val="clear" w:color="auto" w:fill="auto"/>
          </w:tcPr>
          <w:p w:rsidR="002704FC" w:rsidRPr="00D52D8B" w:rsidRDefault="002704FC" w:rsidP="00750E67">
            <w:pPr>
              <w:spacing w:after="0"/>
              <w:rPr>
                <w:rFonts w:cstheme="minorHAnsi"/>
                <w:bCs/>
              </w:rPr>
            </w:pPr>
            <w:r w:rsidRPr="00D52D8B">
              <w:rPr>
                <w:rFonts w:cstheme="minorHAnsi"/>
                <w:b/>
                <w:bCs/>
                <w:u w:val="single"/>
              </w:rPr>
              <w:t>Location:</w:t>
            </w:r>
            <w:r w:rsidRPr="00D52D8B">
              <w:rPr>
                <w:rFonts w:cstheme="minorHAnsi"/>
                <w:bCs/>
              </w:rPr>
              <w:t xml:space="preserve"> </w:t>
            </w:r>
          </w:p>
          <w:p w:rsidR="00357EB1" w:rsidRPr="00D52D8B" w:rsidRDefault="00357EB1" w:rsidP="00750E67">
            <w:pPr>
              <w:spacing w:after="0"/>
              <w:rPr>
                <w:rFonts w:cstheme="minorHAnsi"/>
                <w:bCs/>
              </w:rPr>
            </w:pPr>
            <w:r w:rsidRPr="00D52D8B">
              <w:rPr>
                <w:rFonts w:cstheme="minorHAnsi"/>
                <w:bCs/>
              </w:rPr>
              <w:t>Team 1: Kono, Makeni, Port Loko and Freetown</w:t>
            </w:r>
          </w:p>
          <w:p w:rsidR="002704FC" w:rsidRPr="00D52D8B" w:rsidRDefault="00357EB1" w:rsidP="00534E1B">
            <w:pPr>
              <w:spacing w:after="0"/>
              <w:rPr>
                <w:rFonts w:cstheme="minorHAnsi"/>
                <w:bCs/>
              </w:rPr>
            </w:pPr>
            <w:r w:rsidRPr="00D52D8B">
              <w:rPr>
                <w:rFonts w:cstheme="minorHAnsi"/>
                <w:bCs/>
              </w:rPr>
              <w:t>Team 2: Kailahun, Kenema, Bo and Moyamba</w:t>
            </w:r>
          </w:p>
        </w:tc>
      </w:tr>
      <w:tr w:rsidR="002704FC" w:rsidRPr="00D52D8B" w:rsidTr="000C11C3">
        <w:trPr>
          <w:trHeight w:val="836"/>
        </w:trPr>
        <w:tc>
          <w:tcPr>
            <w:tcW w:w="5463" w:type="dxa"/>
            <w:shd w:val="clear" w:color="auto" w:fill="auto"/>
          </w:tcPr>
          <w:p w:rsidR="00765351" w:rsidRPr="00D52D8B" w:rsidRDefault="00765351" w:rsidP="00534E1B">
            <w:pPr>
              <w:tabs>
                <w:tab w:val="left" w:pos="162"/>
                <w:tab w:val="left" w:pos="252"/>
              </w:tabs>
              <w:spacing w:after="0"/>
              <w:rPr>
                <w:rFonts w:cstheme="minorHAnsi"/>
                <w:b/>
                <w:bCs/>
                <w:u w:val="single"/>
              </w:rPr>
            </w:pPr>
            <w:r w:rsidRPr="00D52D8B">
              <w:rPr>
                <w:rFonts w:cstheme="minorHAnsi"/>
                <w:b/>
                <w:bCs/>
                <w:u w:val="single"/>
              </w:rPr>
              <w:t>Mission Member(s)</w:t>
            </w:r>
          </w:p>
          <w:p w:rsidR="00357EB1" w:rsidRPr="00D52D8B" w:rsidRDefault="00357EB1" w:rsidP="00534E1B">
            <w:pPr>
              <w:tabs>
                <w:tab w:val="left" w:pos="162"/>
                <w:tab w:val="left" w:pos="252"/>
              </w:tabs>
              <w:spacing w:after="0"/>
              <w:rPr>
                <w:rFonts w:cstheme="minorHAnsi"/>
                <w:bCs/>
              </w:rPr>
            </w:pPr>
            <w:r w:rsidRPr="00D52D8B">
              <w:rPr>
                <w:rFonts w:cstheme="minorHAnsi"/>
                <w:b/>
                <w:bCs/>
                <w:u w:val="single"/>
              </w:rPr>
              <w:t>Team 1:</w:t>
            </w:r>
            <w:r w:rsidR="000C11C3">
              <w:rPr>
                <w:rFonts w:cstheme="minorHAnsi"/>
                <w:b/>
                <w:bCs/>
                <w:u w:val="single"/>
              </w:rPr>
              <w:t xml:space="preserve"> (25-27, July and 29 July)</w:t>
            </w:r>
          </w:p>
          <w:p w:rsidR="008E3109" w:rsidRPr="00D52D8B" w:rsidRDefault="002704FC" w:rsidP="008E3109">
            <w:pPr>
              <w:pStyle w:val="ListParagraph"/>
              <w:numPr>
                <w:ilvl w:val="0"/>
                <w:numId w:val="1"/>
              </w:numPr>
              <w:tabs>
                <w:tab w:val="left" w:pos="162"/>
                <w:tab w:val="left" w:pos="252"/>
              </w:tabs>
              <w:rPr>
                <w:rFonts w:cstheme="minorHAnsi"/>
                <w:bCs/>
                <w:sz w:val="22"/>
                <w:szCs w:val="22"/>
                <w:lang w:val="en-GB"/>
              </w:rPr>
            </w:pPr>
            <w:r w:rsidRPr="00D52D8B">
              <w:rPr>
                <w:rFonts w:cstheme="minorHAnsi"/>
                <w:bCs/>
                <w:sz w:val="22"/>
                <w:szCs w:val="22"/>
                <w:lang w:val="en-GB"/>
              </w:rPr>
              <w:t xml:space="preserve">Louise S. Aaen, </w:t>
            </w:r>
            <w:r w:rsidR="00357EB1" w:rsidRPr="00D52D8B">
              <w:rPr>
                <w:rFonts w:cstheme="minorHAnsi"/>
                <w:bCs/>
                <w:sz w:val="22"/>
                <w:szCs w:val="22"/>
                <w:lang w:val="en-GB"/>
              </w:rPr>
              <w:t>INL Project Manager</w:t>
            </w:r>
          </w:p>
          <w:p w:rsidR="000C11C3" w:rsidRDefault="006E3F44" w:rsidP="000C11C3">
            <w:pPr>
              <w:pStyle w:val="ListParagraph"/>
              <w:numPr>
                <w:ilvl w:val="0"/>
                <w:numId w:val="1"/>
              </w:numPr>
              <w:tabs>
                <w:tab w:val="left" w:pos="162"/>
                <w:tab w:val="left" w:pos="252"/>
              </w:tabs>
              <w:rPr>
                <w:rFonts w:cstheme="minorHAnsi"/>
                <w:bCs/>
                <w:sz w:val="22"/>
                <w:szCs w:val="22"/>
                <w:lang w:val="en-GB"/>
              </w:rPr>
            </w:pPr>
            <w:r w:rsidRPr="00D52D8B">
              <w:rPr>
                <w:rFonts w:cstheme="minorHAnsi"/>
                <w:bCs/>
                <w:sz w:val="22"/>
                <w:szCs w:val="22"/>
                <w:lang w:val="en-GB"/>
              </w:rPr>
              <w:t xml:space="preserve">UNDP Driver </w:t>
            </w:r>
          </w:p>
          <w:p w:rsidR="00357EB1" w:rsidRPr="00D52D8B" w:rsidRDefault="00357EB1" w:rsidP="00534E1B">
            <w:pPr>
              <w:tabs>
                <w:tab w:val="left" w:pos="162"/>
                <w:tab w:val="left" w:pos="252"/>
              </w:tabs>
              <w:spacing w:after="0"/>
              <w:rPr>
                <w:rFonts w:cstheme="minorHAnsi"/>
                <w:bCs/>
              </w:rPr>
            </w:pPr>
            <w:r w:rsidRPr="00D52D8B">
              <w:rPr>
                <w:rFonts w:cstheme="minorHAnsi"/>
                <w:b/>
                <w:bCs/>
                <w:u w:val="single"/>
              </w:rPr>
              <w:t>Team 2:</w:t>
            </w:r>
            <w:r w:rsidR="000C11C3">
              <w:rPr>
                <w:rFonts w:cstheme="minorHAnsi"/>
                <w:b/>
                <w:bCs/>
                <w:u w:val="single"/>
              </w:rPr>
              <w:t xml:space="preserve"> (25-30 July, 2017)</w:t>
            </w:r>
          </w:p>
          <w:p w:rsidR="00357EB1" w:rsidRPr="00D52D8B" w:rsidRDefault="00534E1B" w:rsidP="00357EB1">
            <w:pPr>
              <w:pStyle w:val="ListParagraph"/>
              <w:numPr>
                <w:ilvl w:val="0"/>
                <w:numId w:val="26"/>
              </w:numPr>
              <w:tabs>
                <w:tab w:val="left" w:pos="162"/>
                <w:tab w:val="left" w:pos="252"/>
              </w:tabs>
              <w:rPr>
                <w:rFonts w:cstheme="minorHAnsi"/>
                <w:bCs/>
                <w:sz w:val="22"/>
                <w:szCs w:val="22"/>
              </w:rPr>
            </w:pPr>
            <w:r>
              <w:rPr>
                <w:rFonts w:cstheme="minorHAnsi"/>
                <w:bCs/>
                <w:sz w:val="22"/>
                <w:szCs w:val="22"/>
              </w:rPr>
              <w:t>Walter-Neba Chenwi, RO</w:t>
            </w:r>
            <w:r w:rsidR="00357EB1" w:rsidRPr="00D52D8B">
              <w:rPr>
                <w:rFonts w:cstheme="minorHAnsi"/>
                <w:bCs/>
                <w:sz w:val="22"/>
                <w:szCs w:val="22"/>
              </w:rPr>
              <w:t xml:space="preserve">L </w:t>
            </w:r>
            <w:r w:rsidR="00E279BA" w:rsidRPr="00D52D8B">
              <w:rPr>
                <w:rFonts w:cstheme="minorHAnsi"/>
                <w:bCs/>
                <w:sz w:val="22"/>
                <w:szCs w:val="22"/>
              </w:rPr>
              <w:t xml:space="preserve">Programme </w:t>
            </w:r>
            <w:r w:rsidR="00357EB1" w:rsidRPr="00D52D8B">
              <w:rPr>
                <w:rFonts w:cstheme="minorHAnsi"/>
                <w:bCs/>
                <w:sz w:val="22"/>
                <w:szCs w:val="22"/>
              </w:rPr>
              <w:t>Specialist</w:t>
            </w:r>
          </w:p>
          <w:p w:rsidR="00357EB1" w:rsidRPr="00D52D8B" w:rsidRDefault="00357EB1" w:rsidP="00357EB1">
            <w:pPr>
              <w:pStyle w:val="ListParagraph"/>
              <w:numPr>
                <w:ilvl w:val="0"/>
                <w:numId w:val="26"/>
              </w:numPr>
              <w:tabs>
                <w:tab w:val="left" w:pos="162"/>
                <w:tab w:val="left" w:pos="252"/>
              </w:tabs>
              <w:rPr>
                <w:rFonts w:cstheme="minorHAnsi"/>
                <w:bCs/>
                <w:sz w:val="22"/>
                <w:szCs w:val="22"/>
              </w:rPr>
            </w:pPr>
            <w:r w:rsidRPr="00D52D8B">
              <w:rPr>
                <w:rFonts w:cstheme="minorHAnsi"/>
                <w:bCs/>
                <w:sz w:val="22"/>
                <w:szCs w:val="22"/>
              </w:rPr>
              <w:t>UNDP Driver</w:t>
            </w:r>
          </w:p>
        </w:tc>
        <w:tc>
          <w:tcPr>
            <w:tcW w:w="4408" w:type="dxa"/>
            <w:shd w:val="clear" w:color="auto" w:fill="auto"/>
          </w:tcPr>
          <w:p w:rsidR="002704FC" w:rsidRPr="00D52D8B" w:rsidRDefault="002704FC" w:rsidP="00534E1B">
            <w:pPr>
              <w:spacing w:after="0"/>
              <w:rPr>
                <w:rFonts w:cstheme="minorHAnsi"/>
                <w:bCs/>
              </w:rPr>
            </w:pPr>
            <w:r w:rsidRPr="00D52D8B">
              <w:rPr>
                <w:rFonts w:cstheme="minorHAnsi"/>
                <w:b/>
                <w:bCs/>
                <w:u w:val="single"/>
              </w:rPr>
              <w:t>Period and travel dates inclusive</w:t>
            </w:r>
            <w:r w:rsidRPr="00D52D8B">
              <w:rPr>
                <w:rFonts w:cstheme="minorHAnsi"/>
                <w:bCs/>
              </w:rPr>
              <w:t>:</w:t>
            </w:r>
          </w:p>
          <w:p w:rsidR="00357EB1" w:rsidRPr="00D52D8B" w:rsidRDefault="00357EB1" w:rsidP="00534E1B">
            <w:pPr>
              <w:tabs>
                <w:tab w:val="left" w:pos="1252"/>
              </w:tabs>
              <w:spacing w:after="0"/>
              <w:rPr>
                <w:rFonts w:cstheme="minorHAnsi"/>
                <w:bCs/>
              </w:rPr>
            </w:pPr>
            <w:r w:rsidRPr="00D52D8B">
              <w:rPr>
                <w:rFonts w:cstheme="minorHAnsi"/>
                <w:bCs/>
              </w:rPr>
              <w:t xml:space="preserve">Team 1: </w:t>
            </w:r>
            <w:r w:rsidRPr="00D52D8B">
              <w:rPr>
                <w:rFonts w:cstheme="minorHAnsi"/>
                <w:bCs/>
              </w:rPr>
              <w:tab/>
              <w:t>25-27 July 2017 and 29 July 2017</w:t>
            </w:r>
          </w:p>
          <w:p w:rsidR="00357EB1" w:rsidRPr="00D52D8B" w:rsidRDefault="00AD39C4" w:rsidP="00357EB1">
            <w:pPr>
              <w:tabs>
                <w:tab w:val="left" w:pos="1252"/>
              </w:tabs>
              <w:rPr>
                <w:rFonts w:cstheme="minorHAnsi"/>
                <w:bCs/>
              </w:rPr>
            </w:pPr>
            <w:r w:rsidRPr="00D52D8B">
              <w:rPr>
                <w:rFonts w:cstheme="minorHAnsi"/>
                <w:bCs/>
              </w:rPr>
              <w:t xml:space="preserve">Team 2: </w:t>
            </w:r>
            <w:r w:rsidR="00D52D8B">
              <w:rPr>
                <w:rFonts w:cstheme="minorHAnsi"/>
                <w:bCs/>
              </w:rPr>
              <w:t xml:space="preserve">         </w:t>
            </w:r>
            <w:r w:rsidRPr="00D52D8B">
              <w:rPr>
                <w:rFonts w:cstheme="minorHAnsi"/>
                <w:bCs/>
              </w:rPr>
              <w:t>25-</w:t>
            </w:r>
            <w:r w:rsidR="00E279BA" w:rsidRPr="00D52D8B">
              <w:rPr>
                <w:rFonts w:cstheme="minorHAnsi"/>
                <w:bCs/>
              </w:rPr>
              <w:t>30</w:t>
            </w:r>
            <w:r w:rsidRPr="00D52D8B">
              <w:rPr>
                <w:rFonts w:cstheme="minorHAnsi"/>
                <w:bCs/>
              </w:rPr>
              <w:t xml:space="preserve"> July 2017</w:t>
            </w:r>
          </w:p>
          <w:p w:rsidR="002704FC" w:rsidRPr="00D52D8B" w:rsidRDefault="001360DF" w:rsidP="00534E1B">
            <w:pPr>
              <w:spacing w:after="0"/>
              <w:rPr>
                <w:rFonts w:cstheme="minorHAnsi"/>
                <w:b/>
                <w:bCs/>
              </w:rPr>
            </w:pPr>
            <w:r w:rsidRPr="00D52D8B">
              <w:rPr>
                <w:rFonts w:cstheme="minorHAnsi"/>
                <w:bCs/>
              </w:rPr>
              <w:t xml:space="preserve"> </w:t>
            </w:r>
          </w:p>
        </w:tc>
      </w:tr>
      <w:tr w:rsidR="002704FC" w:rsidRPr="00D52D8B" w:rsidTr="00417493">
        <w:trPr>
          <w:trHeight w:val="2117"/>
        </w:trPr>
        <w:tc>
          <w:tcPr>
            <w:tcW w:w="9871" w:type="dxa"/>
            <w:gridSpan w:val="2"/>
            <w:shd w:val="clear" w:color="auto" w:fill="auto"/>
          </w:tcPr>
          <w:p w:rsidR="00DC306C" w:rsidRPr="005E0F90" w:rsidRDefault="00765351" w:rsidP="00DC306C">
            <w:pPr>
              <w:pStyle w:val="ListParagraph"/>
              <w:numPr>
                <w:ilvl w:val="0"/>
                <w:numId w:val="25"/>
              </w:numPr>
              <w:spacing w:line="360" w:lineRule="auto"/>
              <w:rPr>
                <w:rFonts w:cstheme="minorHAnsi"/>
                <w:b/>
                <w:sz w:val="22"/>
                <w:szCs w:val="22"/>
              </w:rPr>
            </w:pPr>
            <w:r w:rsidRPr="005E0F90">
              <w:rPr>
                <w:rFonts w:cstheme="minorHAnsi"/>
                <w:b/>
                <w:sz w:val="22"/>
                <w:szCs w:val="22"/>
              </w:rPr>
              <w:t>Summary</w:t>
            </w:r>
          </w:p>
          <w:p w:rsidR="00A064E8" w:rsidRPr="005E0F90" w:rsidRDefault="00765351" w:rsidP="00534E1B">
            <w:pPr>
              <w:spacing w:after="0" w:line="360" w:lineRule="auto"/>
              <w:rPr>
                <w:rFonts w:cstheme="minorHAnsi"/>
                <w:b/>
              </w:rPr>
            </w:pPr>
            <w:r w:rsidRPr="005E0F90">
              <w:rPr>
                <w:rFonts w:cstheme="minorHAnsi"/>
              </w:rPr>
              <w:t>The main objective of the field mission</w:t>
            </w:r>
            <w:r w:rsidR="00DC306C" w:rsidRPr="005E0F90">
              <w:rPr>
                <w:rFonts w:cstheme="minorHAnsi"/>
              </w:rPr>
              <w:t xml:space="preserve"> </w:t>
            </w:r>
            <w:r w:rsidR="003E1366" w:rsidRPr="005E0F90">
              <w:rPr>
                <w:rFonts w:cstheme="minorHAnsi"/>
              </w:rPr>
              <w:t>was in relation wi</w:t>
            </w:r>
            <w:r w:rsidR="00890F2D" w:rsidRPr="005E0F90">
              <w:rPr>
                <w:rFonts w:cstheme="minorHAnsi"/>
              </w:rPr>
              <w:t>th</w:t>
            </w:r>
            <w:r w:rsidR="003E1366" w:rsidRPr="005E0F90">
              <w:rPr>
                <w:rFonts w:cstheme="minorHAnsi"/>
              </w:rPr>
              <w:t xml:space="preserve"> </w:t>
            </w:r>
            <w:r w:rsidR="00890F2D" w:rsidRPr="005E0F90">
              <w:rPr>
                <w:rFonts w:cstheme="minorHAnsi"/>
              </w:rPr>
              <w:t>the</w:t>
            </w:r>
            <w:r w:rsidR="00FA2BE5" w:rsidRPr="005E0F90">
              <w:rPr>
                <w:rFonts w:cstheme="minorHAnsi"/>
              </w:rPr>
              <w:t xml:space="preserve"> </w:t>
            </w:r>
            <w:r w:rsidR="004946E6" w:rsidRPr="005E0F90">
              <w:rPr>
                <w:rFonts w:cstheme="minorHAnsi"/>
                <w:i/>
              </w:rPr>
              <w:t>Promoting Transparency in Sierra Leone’s Judiciary</w:t>
            </w:r>
            <w:r w:rsidR="00890F2D" w:rsidRPr="005E0F90">
              <w:rPr>
                <w:rFonts w:cstheme="minorHAnsi"/>
              </w:rPr>
              <w:t xml:space="preserve"> project</w:t>
            </w:r>
            <w:r w:rsidR="00A064E8" w:rsidRPr="005E0F90">
              <w:rPr>
                <w:rFonts w:cstheme="minorHAnsi"/>
              </w:rPr>
              <w:t xml:space="preserve">, </w:t>
            </w:r>
            <w:r w:rsidR="00A064E8" w:rsidRPr="005E0F90">
              <w:rPr>
                <w:rFonts w:cstheme="minorHAnsi"/>
                <w:i/>
              </w:rPr>
              <w:t>Output 1: Sentencing and bail policies and guidelines are adopted by the mandated judicial authorities</w:t>
            </w:r>
            <w:r w:rsidR="000C11C3" w:rsidRPr="005E0F90">
              <w:rPr>
                <w:rFonts w:cstheme="minorHAnsi"/>
                <w:i/>
              </w:rPr>
              <w:t xml:space="preserve">. </w:t>
            </w:r>
            <w:r w:rsidR="000C11C3" w:rsidRPr="005E0F90">
              <w:rPr>
                <w:rFonts w:cstheme="minorHAnsi"/>
              </w:rPr>
              <w:t xml:space="preserve">UNDP’s presence at the </w:t>
            </w:r>
            <w:r w:rsidR="00DC306C" w:rsidRPr="005E0F90">
              <w:rPr>
                <w:rFonts w:cstheme="minorHAnsi"/>
              </w:rPr>
              <w:t xml:space="preserve">outreach sessions </w:t>
            </w:r>
            <w:r w:rsidR="003E1366" w:rsidRPr="005E0F90">
              <w:rPr>
                <w:rFonts w:cstheme="minorHAnsi"/>
              </w:rPr>
              <w:t>was to</w:t>
            </w:r>
            <w:r w:rsidR="00DC306C" w:rsidRPr="005E0F90">
              <w:rPr>
                <w:rFonts w:cstheme="minorHAnsi"/>
              </w:rPr>
              <w:t xml:space="preserve"> </w:t>
            </w:r>
            <w:r w:rsidR="003E1366" w:rsidRPr="005E0F90">
              <w:rPr>
                <w:rFonts w:cstheme="minorHAnsi"/>
              </w:rPr>
              <w:t xml:space="preserve">support respective events on the field and to </w:t>
            </w:r>
            <w:r w:rsidR="00DC306C" w:rsidRPr="005E0F90">
              <w:rPr>
                <w:rFonts w:cstheme="minorHAnsi"/>
              </w:rPr>
              <w:t>collect information and perceptions from participants on the application of bail and sentencing practices in the provinces</w:t>
            </w:r>
            <w:r w:rsidR="003E1366" w:rsidRPr="005E0F90">
              <w:rPr>
                <w:rFonts w:cstheme="minorHAnsi"/>
              </w:rPr>
              <w:t xml:space="preserve"> to </w:t>
            </w:r>
            <w:r w:rsidR="00DC306C" w:rsidRPr="005E0F90">
              <w:rPr>
                <w:rFonts w:cstheme="minorHAnsi"/>
              </w:rPr>
              <w:t xml:space="preserve">further inform the implementation of the </w:t>
            </w:r>
            <w:r w:rsidR="00DC306C" w:rsidRPr="005E0F90">
              <w:rPr>
                <w:rFonts w:cstheme="minorHAnsi"/>
                <w:i/>
              </w:rPr>
              <w:t xml:space="preserve">Promoting Transparency in Sierra Leone’s Judiciary </w:t>
            </w:r>
            <w:r w:rsidR="00DC306C" w:rsidRPr="005E0F90">
              <w:rPr>
                <w:rFonts w:cstheme="minorHAnsi"/>
              </w:rPr>
              <w:t xml:space="preserve">and strengthen UNDP’s support and collaboration with the Judiciary in achieving </w:t>
            </w:r>
            <w:r w:rsidR="003E1366" w:rsidRPr="005E0F90">
              <w:rPr>
                <w:rFonts w:cstheme="minorHAnsi"/>
              </w:rPr>
              <w:t xml:space="preserve">successful implementation of </w:t>
            </w:r>
            <w:r w:rsidR="00DC306C" w:rsidRPr="005E0F90">
              <w:rPr>
                <w:rFonts w:cstheme="minorHAnsi"/>
              </w:rPr>
              <w:t>the project</w:t>
            </w:r>
            <w:r w:rsidR="003E1366" w:rsidRPr="005E0F90">
              <w:rPr>
                <w:rFonts w:cstheme="minorHAnsi"/>
              </w:rPr>
              <w:t>.</w:t>
            </w:r>
            <w:r w:rsidR="00DC306C" w:rsidRPr="005E0F90">
              <w:rPr>
                <w:rFonts w:cstheme="minorHAnsi"/>
              </w:rPr>
              <w:t xml:space="preserve"> </w:t>
            </w:r>
          </w:p>
          <w:p w:rsidR="007F532E" w:rsidRPr="005E0F90" w:rsidRDefault="007F532E" w:rsidP="00534E1B">
            <w:pPr>
              <w:spacing w:after="0" w:line="360" w:lineRule="auto"/>
              <w:ind w:left="360"/>
              <w:rPr>
                <w:rFonts w:cstheme="minorHAnsi"/>
                <w:b/>
              </w:rPr>
            </w:pPr>
          </w:p>
          <w:p w:rsidR="00A064E8" w:rsidRPr="005E0F90" w:rsidRDefault="00A064E8" w:rsidP="00534E1B">
            <w:pPr>
              <w:spacing w:after="0" w:line="360" w:lineRule="auto"/>
              <w:ind w:left="360"/>
              <w:rPr>
                <w:rFonts w:cstheme="minorHAnsi"/>
                <w:b/>
              </w:rPr>
            </w:pPr>
            <w:r w:rsidRPr="005E0F90">
              <w:rPr>
                <w:rFonts w:cstheme="minorHAnsi"/>
                <w:b/>
              </w:rPr>
              <w:t xml:space="preserve">2. Background </w:t>
            </w:r>
          </w:p>
          <w:p w:rsidR="001B4A57" w:rsidRPr="005E0F90" w:rsidRDefault="001B4A57" w:rsidP="001B4A57">
            <w:pPr>
              <w:pStyle w:val="NoSpacing"/>
              <w:spacing w:line="276" w:lineRule="auto"/>
              <w:jc w:val="both"/>
              <w:rPr>
                <w:rFonts w:asciiTheme="minorHAnsi" w:hAnsiTheme="minorHAnsi" w:cstheme="minorHAnsi"/>
              </w:rPr>
            </w:pPr>
            <w:r w:rsidRPr="005E0F90">
              <w:rPr>
                <w:rFonts w:asciiTheme="minorHAnsi" w:hAnsiTheme="minorHAnsi" w:cstheme="minorHAnsi"/>
              </w:rPr>
              <w:t>A key activity, described in the project document to support the effective achievement of output 1 is to ensure in-depth and countrywide consultation with a broader variety of stakeholders in the justice and civil society sectors from the Western Area, the</w:t>
            </w:r>
            <w:r w:rsidR="00357EB1" w:rsidRPr="005E0F90">
              <w:rPr>
                <w:rFonts w:asciiTheme="minorHAnsi" w:hAnsiTheme="minorHAnsi" w:cstheme="minorHAnsi"/>
              </w:rPr>
              <w:t xml:space="preserve"> North, the South and the East.</w:t>
            </w:r>
          </w:p>
          <w:p w:rsidR="00357EB1" w:rsidRPr="005E0F90" w:rsidRDefault="00357EB1" w:rsidP="001B4A57">
            <w:pPr>
              <w:pStyle w:val="NoSpacing"/>
              <w:spacing w:line="276" w:lineRule="auto"/>
              <w:jc w:val="both"/>
              <w:rPr>
                <w:rFonts w:asciiTheme="minorHAnsi" w:hAnsiTheme="minorHAnsi" w:cstheme="minorHAnsi"/>
              </w:rPr>
            </w:pPr>
          </w:p>
          <w:p w:rsidR="00357EB1" w:rsidRPr="005E0F90" w:rsidRDefault="00357EB1" w:rsidP="001B4A57">
            <w:pPr>
              <w:pStyle w:val="NoSpacing"/>
              <w:spacing w:line="276" w:lineRule="auto"/>
              <w:jc w:val="both"/>
              <w:rPr>
                <w:rFonts w:asciiTheme="minorHAnsi" w:hAnsiTheme="minorHAnsi" w:cstheme="minorHAnsi"/>
              </w:rPr>
            </w:pPr>
            <w:r w:rsidRPr="005E0F90">
              <w:rPr>
                <w:rFonts w:asciiTheme="minorHAnsi" w:hAnsiTheme="minorHAnsi" w:cstheme="minorHAnsi"/>
              </w:rPr>
              <w:t>In March – May 2016 the WG</w:t>
            </w:r>
            <w:r w:rsidR="00051BC7" w:rsidRPr="005E0F90">
              <w:rPr>
                <w:rFonts w:asciiTheme="minorHAnsi" w:hAnsiTheme="minorHAnsi" w:cstheme="minorHAnsi"/>
              </w:rPr>
              <w:t xml:space="preserve"> held 11 national consultations across the country ensuring ample feedback on the present situation o</w:t>
            </w:r>
            <w:r w:rsidR="000C11C3" w:rsidRPr="005E0F90">
              <w:rPr>
                <w:rFonts w:asciiTheme="minorHAnsi" w:hAnsiTheme="minorHAnsi" w:cstheme="minorHAnsi"/>
              </w:rPr>
              <w:t>n</w:t>
            </w:r>
            <w:r w:rsidR="00051BC7" w:rsidRPr="005E0F90">
              <w:rPr>
                <w:rFonts w:asciiTheme="minorHAnsi" w:hAnsiTheme="minorHAnsi" w:cstheme="minorHAnsi"/>
              </w:rPr>
              <w:t xml:space="preserve"> bail and sentencing in the country from provincial justice stakeholders, local government, traditional leaders, women leaders, youth representatives and civil society</w:t>
            </w:r>
            <w:r w:rsidR="000C11C3" w:rsidRPr="005E0F90">
              <w:rPr>
                <w:rFonts w:asciiTheme="minorHAnsi" w:hAnsiTheme="minorHAnsi" w:cstheme="minorHAnsi"/>
              </w:rPr>
              <w:t xml:space="preserve">. The consultations then were designed to achieve broader </w:t>
            </w:r>
            <w:r w:rsidR="00051BC7" w:rsidRPr="005E0F90">
              <w:rPr>
                <w:rFonts w:asciiTheme="minorHAnsi" w:hAnsiTheme="minorHAnsi" w:cstheme="minorHAnsi"/>
              </w:rPr>
              <w:t xml:space="preserve">representation of the populace. </w:t>
            </w:r>
          </w:p>
          <w:p w:rsidR="00051BC7" w:rsidRPr="005E0F90" w:rsidRDefault="00051BC7" w:rsidP="001B4A57">
            <w:pPr>
              <w:pStyle w:val="NoSpacing"/>
              <w:spacing w:line="276" w:lineRule="auto"/>
              <w:jc w:val="both"/>
              <w:rPr>
                <w:rFonts w:asciiTheme="minorHAnsi" w:hAnsiTheme="minorHAnsi" w:cstheme="minorHAnsi"/>
              </w:rPr>
            </w:pPr>
          </w:p>
          <w:p w:rsidR="00051BC7" w:rsidRPr="005E0F90" w:rsidRDefault="00051BC7" w:rsidP="001B4A57">
            <w:pPr>
              <w:pStyle w:val="NoSpacing"/>
              <w:spacing w:line="276" w:lineRule="auto"/>
              <w:jc w:val="both"/>
              <w:rPr>
                <w:rFonts w:asciiTheme="minorHAnsi" w:hAnsiTheme="minorHAnsi" w:cstheme="minorHAnsi"/>
              </w:rPr>
            </w:pPr>
            <w:r w:rsidRPr="005E0F90">
              <w:rPr>
                <w:rFonts w:asciiTheme="minorHAnsi" w:hAnsiTheme="minorHAnsi" w:cstheme="minorHAnsi"/>
              </w:rPr>
              <w:t xml:space="preserve">The </w:t>
            </w:r>
            <w:r w:rsidR="008F46EB" w:rsidRPr="005E0F90">
              <w:rPr>
                <w:rFonts w:asciiTheme="minorHAnsi" w:hAnsiTheme="minorHAnsi" w:cstheme="minorHAnsi"/>
              </w:rPr>
              <w:t xml:space="preserve">consultations concluded successfully and the comprehensive feedback and input received informed the further drafting of the </w:t>
            </w:r>
            <w:r w:rsidR="000C11C3" w:rsidRPr="005E0F90">
              <w:rPr>
                <w:rFonts w:asciiTheme="minorHAnsi" w:hAnsiTheme="minorHAnsi" w:cstheme="minorHAnsi"/>
              </w:rPr>
              <w:t>Bail and S</w:t>
            </w:r>
            <w:r w:rsidR="008F46EB" w:rsidRPr="005E0F90">
              <w:rPr>
                <w:rFonts w:asciiTheme="minorHAnsi" w:hAnsiTheme="minorHAnsi" w:cstheme="minorHAnsi"/>
              </w:rPr>
              <w:t xml:space="preserve">entencing </w:t>
            </w:r>
            <w:r w:rsidR="000C11C3" w:rsidRPr="005E0F90">
              <w:rPr>
                <w:rFonts w:asciiTheme="minorHAnsi" w:hAnsiTheme="minorHAnsi" w:cstheme="minorHAnsi"/>
              </w:rPr>
              <w:t>R</w:t>
            </w:r>
            <w:r w:rsidR="008F46EB" w:rsidRPr="005E0F90">
              <w:rPr>
                <w:rFonts w:asciiTheme="minorHAnsi" w:hAnsiTheme="minorHAnsi" w:cstheme="minorHAnsi"/>
              </w:rPr>
              <w:t>egulations.</w:t>
            </w:r>
          </w:p>
          <w:p w:rsidR="008F46EB" w:rsidRPr="005E0F90" w:rsidRDefault="008F46EB" w:rsidP="001B4A57">
            <w:pPr>
              <w:pStyle w:val="NoSpacing"/>
              <w:spacing w:line="276" w:lineRule="auto"/>
              <w:jc w:val="both"/>
              <w:rPr>
                <w:rFonts w:asciiTheme="minorHAnsi" w:hAnsiTheme="minorHAnsi" w:cstheme="minorHAnsi"/>
              </w:rPr>
            </w:pPr>
          </w:p>
          <w:p w:rsidR="008F46EB" w:rsidRPr="005E0F90" w:rsidRDefault="008F46EB" w:rsidP="001B4A57">
            <w:pPr>
              <w:pStyle w:val="NoSpacing"/>
              <w:spacing w:line="276" w:lineRule="auto"/>
              <w:jc w:val="both"/>
              <w:rPr>
                <w:rFonts w:asciiTheme="minorHAnsi" w:hAnsiTheme="minorHAnsi" w:cstheme="minorHAnsi"/>
              </w:rPr>
            </w:pPr>
            <w:r w:rsidRPr="005E0F90">
              <w:rPr>
                <w:rFonts w:asciiTheme="minorHAnsi" w:hAnsiTheme="minorHAnsi" w:cstheme="minorHAnsi"/>
              </w:rPr>
              <w:t xml:space="preserve">In May 2017, the Bail Regulations </w:t>
            </w:r>
            <w:r w:rsidR="00E279BA" w:rsidRPr="005E0F90">
              <w:rPr>
                <w:rFonts w:asciiTheme="minorHAnsi" w:hAnsiTheme="minorHAnsi" w:cstheme="minorHAnsi"/>
              </w:rPr>
              <w:t xml:space="preserve">were </w:t>
            </w:r>
            <w:r w:rsidRPr="005E0F90">
              <w:rPr>
                <w:rFonts w:asciiTheme="minorHAnsi" w:hAnsiTheme="minorHAnsi" w:cstheme="minorHAnsi"/>
              </w:rPr>
              <w:t xml:space="preserve">approved by the Rules of the Court Committee and the sentencing regulations </w:t>
            </w:r>
            <w:r w:rsidR="000C11C3" w:rsidRPr="005E0F90">
              <w:rPr>
                <w:rFonts w:asciiTheme="minorHAnsi" w:hAnsiTheme="minorHAnsi" w:cstheme="minorHAnsi"/>
              </w:rPr>
              <w:t xml:space="preserve">are still </w:t>
            </w:r>
            <w:r w:rsidRPr="005E0F90">
              <w:rPr>
                <w:rFonts w:asciiTheme="minorHAnsi" w:hAnsiTheme="minorHAnsi" w:cstheme="minorHAnsi"/>
              </w:rPr>
              <w:t>await</w:t>
            </w:r>
            <w:r w:rsidR="000C11C3" w:rsidRPr="005E0F90">
              <w:rPr>
                <w:rFonts w:asciiTheme="minorHAnsi" w:hAnsiTheme="minorHAnsi" w:cstheme="minorHAnsi"/>
              </w:rPr>
              <w:t>ing</w:t>
            </w:r>
            <w:r w:rsidRPr="005E0F90">
              <w:rPr>
                <w:rFonts w:asciiTheme="minorHAnsi" w:hAnsiTheme="minorHAnsi" w:cstheme="minorHAnsi"/>
              </w:rPr>
              <w:t xml:space="preserve"> the final approval of the Criminal Procedure Act.</w:t>
            </w:r>
          </w:p>
          <w:p w:rsidR="008F46EB" w:rsidRPr="005E0F90" w:rsidRDefault="008F46EB" w:rsidP="001B4A57">
            <w:pPr>
              <w:pStyle w:val="NoSpacing"/>
              <w:spacing w:line="276" w:lineRule="auto"/>
              <w:jc w:val="both"/>
              <w:rPr>
                <w:rFonts w:asciiTheme="minorHAnsi" w:hAnsiTheme="minorHAnsi" w:cstheme="minorHAnsi"/>
              </w:rPr>
            </w:pPr>
          </w:p>
          <w:p w:rsidR="008F46EB" w:rsidRPr="005E0F90" w:rsidRDefault="008F46EB" w:rsidP="001B4A57">
            <w:pPr>
              <w:pStyle w:val="NoSpacing"/>
              <w:spacing w:line="276" w:lineRule="auto"/>
              <w:jc w:val="both"/>
              <w:rPr>
                <w:rFonts w:asciiTheme="minorHAnsi" w:hAnsiTheme="minorHAnsi" w:cstheme="minorHAnsi"/>
              </w:rPr>
            </w:pPr>
            <w:r w:rsidRPr="005E0F90">
              <w:rPr>
                <w:rFonts w:asciiTheme="minorHAnsi" w:hAnsiTheme="minorHAnsi" w:cstheme="minorHAnsi"/>
              </w:rPr>
              <w:t xml:space="preserve">In accordance with output </w:t>
            </w:r>
            <w:r w:rsidR="00DC306C" w:rsidRPr="005E0F90">
              <w:rPr>
                <w:rFonts w:asciiTheme="minorHAnsi" w:hAnsiTheme="minorHAnsi" w:cstheme="minorHAnsi"/>
              </w:rPr>
              <w:t>1</w:t>
            </w:r>
            <w:r w:rsidRPr="005E0F90">
              <w:rPr>
                <w:rFonts w:asciiTheme="minorHAnsi" w:hAnsiTheme="minorHAnsi" w:cstheme="minorHAnsi"/>
              </w:rPr>
              <w:t xml:space="preserve"> of the INL project, the WG and the Judiciary </w:t>
            </w:r>
            <w:r w:rsidR="00DC306C" w:rsidRPr="005E0F90">
              <w:rPr>
                <w:rFonts w:asciiTheme="minorHAnsi" w:hAnsiTheme="minorHAnsi" w:cstheme="minorHAnsi"/>
              </w:rPr>
              <w:t xml:space="preserve">have been committed to undertake wider </w:t>
            </w:r>
            <w:r w:rsidRPr="005E0F90">
              <w:rPr>
                <w:rFonts w:asciiTheme="minorHAnsi" w:hAnsiTheme="minorHAnsi" w:cstheme="minorHAnsi"/>
              </w:rPr>
              <w:t xml:space="preserve">stakeholders and a broad segment of the populace </w:t>
            </w:r>
            <w:r w:rsidR="00DC306C" w:rsidRPr="005E0F90">
              <w:rPr>
                <w:rFonts w:asciiTheme="minorHAnsi" w:hAnsiTheme="minorHAnsi" w:cstheme="minorHAnsi"/>
              </w:rPr>
              <w:t xml:space="preserve">engagement on the instruments to ensure </w:t>
            </w:r>
            <w:r w:rsidRPr="005E0F90">
              <w:rPr>
                <w:rFonts w:asciiTheme="minorHAnsi" w:hAnsiTheme="minorHAnsi" w:cstheme="minorHAnsi"/>
              </w:rPr>
              <w:t xml:space="preserve">requisite knowledge of the new legislation </w:t>
            </w:r>
            <w:r w:rsidR="00DC306C" w:rsidRPr="005E0F90">
              <w:rPr>
                <w:rFonts w:asciiTheme="minorHAnsi" w:hAnsiTheme="minorHAnsi" w:cstheme="minorHAnsi"/>
              </w:rPr>
              <w:t xml:space="preserve">is acquired before </w:t>
            </w:r>
            <w:r w:rsidRPr="005E0F90">
              <w:rPr>
                <w:rFonts w:asciiTheme="minorHAnsi" w:hAnsiTheme="minorHAnsi" w:cstheme="minorHAnsi"/>
              </w:rPr>
              <w:t xml:space="preserve">it </w:t>
            </w:r>
            <w:r w:rsidR="00E279BA" w:rsidRPr="005E0F90">
              <w:rPr>
                <w:rFonts w:asciiTheme="minorHAnsi" w:hAnsiTheme="minorHAnsi" w:cstheme="minorHAnsi"/>
              </w:rPr>
              <w:t xml:space="preserve">is </w:t>
            </w:r>
            <w:r w:rsidRPr="005E0F90">
              <w:rPr>
                <w:rFonts w:asciiTheme="minorHAnsi" w:hAnsiTheme="minorHAnsi" w:cstheme="minorHAnsi"/>
              </w:rPr>
              <w:t>passe</w:t>
            </w:r>
            <w:r w:rsidR="00E279BA" w:rsidRPr="005E0F90">
              <w:rPr>
                <w:rFonts w:asciiTheme="minorHAnsi" w:hAnsiTheme="minorHAnsi" w:cstheme="minorHAnsi"/>
              </w:rPr>
              <w:t>d</w:t>
            </w:r>
            <w:r w:rsidRPr="005E0F90">
              <w:rPr>
                <w:rFonts w:asciiTheme="minorHAnsi" w:hAnsiTheme="minorHAnsi" w:cstheme="minorHAnsi"/>
              </w:rPr>
              <w:t xml:space="preserve"> into law. </w:t>
            </w:r>
          </w:p>
          <w:p w:rsidR="008F46EB" w:rsidRPr="005E0F90" w:rsidRDefault="008F46EB" w:rsidP="001B4A57">
            <w:pPr>
              <w:pStyle w:val="NoSpacing"/>
              <w:spacing w:line="276" w:lineRule="auto"/>
              <w:jc w:val="both"/>
              <w:rPr>
                <w:rFonts w:asciiTheme="minorHAnsi" w:hAnsiTheme="minorHAnsi" w:cstheme="minorHAnsi"/>
              </w:rPr>
            </w:pPr>
          </w:p>
          <w:p w:rsidR="001B4A57" w:rsidRPr="005E0F90" w:rsidRDefault="001B4A57" w:rsidP="001B4A57">
            <w:pPr>
              <w:pStyle w:val="NoSpacing"/>
              <w:spacing w:line="276" w:lineRule="auto"/>
              <w:jc w:val="both"/>
              <w:rPr>
                <w:rFonts w:asciiTheme="minorHAnsi" w:hAnsiTheme="minorHAnsi" w:cstheme="minorHAnsi"/>
              </w:rPr>
            </w:pPr>
            <w:r w:rsidRPr="005E0F90">
              <w:rPr>
                <w:rFonts w:asciiTheme="minorHAnsi" w:hAnsiTheme="minorHAnsi" w:cstheme="minorHAnsi"/>
              </w:rPr>
              <w:t xml:space="preserve">To ensure </w:t>
            </w:r>
            <w:r w:rsidR="002D2859" w:rsidRPr="005E0F90">
              <w:rPr>
                <w:rFonts w:asciiTheme="minorHAnsi" w:hAnsiTheme="minorHAnsi" w:cstheme="minorHAnsi"/>
              </w:rPr>
              <w:t xml:space="preserve">outreach to </w:t>
            </w:r>
            <w:r w:rsidRPr="005E0F90">
              <w:rPr>
                <w:rFonts w:asciiTheme="minorHAnsi" w:hAnsiTheme="minorHAnsi" w:cstheme="minorHAnsi"/>
              </w:rPr>
              <w:t>the whole country, the WG</w:t>
            </w:r>
            <w:r w:rsidR="008454AA" w:rsidRPr="005E0F90">
              <w:rPr>
                <w:rFonts w:asciiTheme="minorHAnsi" w:hAnsiTheme="minorHAnsi" w:cstheme="minorHAnsi"/>
              </w:rPr>
              <w:t xml:space="preserve"> </w:t>
            </w:r>
            <w:r w:rsidR="00E279BA" w:rsidRPr="005E0F90">
              <w:rPr>
                <w:rFonts w:asciiTheme="minorHAnsi" w:hAnsiTheme="minorHAnsi" w:cstheme="minorHAnsi"/>
              </w:rPr>
              <w:t>w</w:t>
            </w:r>
            <w:r w:rsidR="002D2859" w:rsidRPr="005E0F90">
              <w:rPr>
                <w:rFonts w:asciiTheme="minorHAnsi" w:hAnsiTheme="minorHAnsi" w:cstheme="minorHAnsi"/>
              </w:rPr>
              <w:t xml:space="preserve">as </w:t>
            </w:r>
            <w:r w:rsidR="00E279BA" w:rsidRPr="005E0F90">
              <w:rPr>
                <w:rFonts w:asciiTheme="minorHAnsi" w:hAnsiTheme="minorHAnsi" w:cstheme="minorHAnsi"/>
              </w:rPr>
              <w:t xml:space="preserve">split </w:t>
            </w:r>
            <w:r w:rsidR="008454AA" w:rsidRPr="005E0F90">
              <w:rPr>
                <w:rFonts w:asciiTheme="minorHAnsi" w:hAnsiTheme="minorHAnsi" w:cstheme="minorHAnsi"/>
              </w:rPr>
              <w:t xml:space="preserve">into </w:t>
            </w:r>
            <w:r w:rsidR="002D2859" w:rsidRPr="005E0F90">
              <w:rPr>
                <w:rFonts w:asciiTheme="minorHAnsi" w:hAnsiTheme="minorHAnsi" w:cstheme="minorHAnsi"/>
              </w:rPr>
              <w:t>two</w:t>
            </w:r>
            <w:r w:rsidR="008454AA" w:rsidRPr="005E0F90">
              <w:rPr>
                <w:rFonts w:asciiTheme="minorHAnsi" w:hAnsiTheme="minorHAnsi" w:cstheme="minorHAnsi"/>
              </w:rPr>
              <w:t xml:space="preserve"> teams</w:t>
            </w:r>
            <w:r w:rsidR="002D2859" w:rsidRPr="005E0F90">
              <w:rPr>
                <w:rFonts w:asciiTheme="minorHAnsi" w:hAnsiTheme="minorHAnsi" w:cstheme="minorHAnsi"/>
              </w:rPr>
              <w:t xml:space="preserve"> and </w:t>
            </w:r>
            <w:r w:rsidRPr="005E0F90">
              <w:rPr>
                <w:rFonts w:asciiTheme="minorHAnsi" w:hAnsiTheme="minorHAnsi" w:cstheme="minorHAnsi"/>
              </w:rPr>
              <w:t>h</w:t>
            </w:r>
            <w:r w:rsidR="00DC306C" w:rsidRPr="005E0F90">
              <w:rPr>
                <w:rFonts w:asciiTheme="minorHAnsi" w:hAnsiTheme="minorHAnsi" w:cstheme="minorHAnsi"/>
              </w:rPr>
              <w:t>e</w:t>
            </w:r>
            <w:r w:rsidRPr="005E0F90">
              <w:rPr>
                <w:rFonts w:asciiTheme="minorHAnsi" w:hAnsiTheme="minorHAnsi" w:cstheme="minorHAnsi"/>
              </w:rPr>
              <w:t xml:space="preserve">ld one day workshop in </w:t>
            </w:r>
            <w:r w:rsidR="002D2859" w:rsidRPr="005E0F90">
              <w:rPr>
                <w:rFonts w:asciiTheme="minorHAnsi" w:hAnsiTheme="minorHAnsi" w:cstheme="minorHAnsi"/>
              </w:rPr>
              <w:t xml:space="preserve">Freetown and 7 </w:t>
            </w:r>
            <w:r w:rsidR="00DC306C" w:rsidRPr="005E0F90">
              <w:rPr>
                <w:rFonts w:asciiTheme="minorHAnsi" w:hAnsiTheme="minorHAnsi" w:cstheme="minorHAnsi"/>
              </w:rPr>
              <w:t xml:space="preserve">at </w:t>
            </w:r>
            <w:r w:rsidR="002D2859" w:rsidRPr="005E0F90">
              <w:rPr>
                <w:rFonts w:asciiTheme="minorHAnsi" w:hAnsiTheme="minorHAnsi" w:cstheme="minorHAnsi"/>
              </w:rPr>
              <w:t>provincial headquarter town</w:t>
            </w:r>
            <w:r w:rsidR="00E279BA" w:rsidRPr="005E0F90">
              <w:rPr>
                <w:rFonts w:asciiTheme="minorHAnsi" w:hAnsiTheme="minorHAnsi" w:cstheme="minorHAnsi"/>
              </w:rPr>
              <w:t>s</w:t>
            </w:r>
            <w:r w:rsidR="008454AA" w:rsidRPr="005E0F90">
              <w:rPr>
                <w:rFonts w:asciiTheme="minorHAnsi" w:hAnsiTheme="minorHAnsi" w:cstheme="minorHAnsi"/>
              </w:rPr>
              <w:t xml:space="preserve">. For each </w:t>
            </w:r>
            <w:r w:rsidR="002D2859" w:rsidRPr="005E0F90">
              <w:rPr>
                <w:rFonts w:asciiTheme="minorHAnsi" w:hAnsiTheme="minorHAnsi" w:cstheme="minorHAnsi"/>
              </w:rPr>
              <w:t>Town Hall meeting</w:t>
            </w:r>
            <w:r w:rsidR="008454AA" w:rsidRPr="005E0F90">
              <w:rPr>
                <w:rFonts w:asciiTheme="minorHAnsi" w:hAnsiTheme="minorHAnsi" w:cstheme="minorHAnsi"/>
              </w:rPr>
              <w:t xml:space="preserve"> there </w:t>
            </w:r>
            <w:r w:rsidR="00E279BA" w:rsidRPr="005E0F90">
              <w:rPr>
                <w:rFonts w:asciiTheme="minorHAnsi" w:hAnsiTheme="minorHAnsi" w:cstheme="minorHAnsi"/>
              </w:rPr>
              <w:t>w</w:t>
            </w:r>
            <w:r w:rsidR="00DC306C" w:rsidRPr="005E0F90">
              <w:rPr>
                <w:rFonts w:asciiTheme="minorHAnsi" w:hAnsiTheme="minorHAnsi" w:cstheme="minorHAnsi"/>
              </w:rPr>
              <w:t>ere</w:t>
            </w:r>
            <w:r w:rsidR="008454AA" w:rsidRPr="005E0F90">
              <w:rPr>
                <w:rFonts w:asciiTheme="minorHAnsi" w:hAnsiTheme="minorHAnsi" w:cstheme="minorHAnsi"/>
              </w:rPr>
              <w:t xml:space="preserve"> 150 invitees comprising judicial staff, police, corrections, local governments, paramount and district chiefs, unions, women’s representatives, and broader civil society, including CSO and CBO representatives. </w:t>
            </w:r>
            <w:r w:rsidR="00A064E8" w:rsidRPr="005E0F90">
              <w:rPr>
                <w:rFonts w:asciiTheme="minorHAnsi" w:hAnsiTheme="minorHAnsi" w:cstheme="minorHAnsi"/>
              </w:rPr>
              <w:t>Furthermore, the</w:t>
            </w:r>
            <w:r w:rsidR="008454AA" w:rsidRPr="005E0F90">
              <w:rPr>
                <w:rFonts w:asciiTheme="minorHAnsi" w:hAnsiTheme="minorHAnsi" w:cstheme="minorHAnsi"/>
              </w:rPr>
              <w:t xml:space="preserve"> WG members </w:t>
            </w:r>
            <w:r w:rsidR="00A064E8" w:rsidRPr="005E0F90">
              <w:rPr>
                <w:rFonts w:asciiTheme="minorHAnsi" w:hAnsiTheme="minorHAnsi" w:cstheme="minorHAnsi"/>
              </w:rPr>
              <w:t>engage</w:t>
            </w:r>
            <w:r w:rsidR="00DC306C" w:rsidRPr="005E0F90">
              <w:rPr>
                <w:rFonts w:asciiTheme="minorHAnsi" w:hAnsiTheme="minorHAnsi" w:cstheme="minorHAnsi"/>
              </w:rPr>
              <w:t>d</w:t>
            </w:r>
            <w:r w:rsidR="00A064E8" w:rsidRPr="005E0F90">
              <w:rPr>
                <w:rFonts w:asciiTheme="minorHAnsi" w:hAnsiTheme="minorHAnsi" w:cstheme="minorHAnsi"/>
              </w:rPr>
              <w:t xml:space="preserve"> in radio discussions</w:t>
            </w:r>
            <w:r w:rsidR="008454AA" w:rsidRPr="005E0F90">
              <w:rPr>
                <w:rFonts w:asciiTheme="minorHAnsi" w:hAnsiTheme="minorHAnsi" w:cstheme="minorHAnsi"/>
              </w:rPr>
              <w:t xml:space="preserve"> </w:t>
            </w:r>
            <w:r w:rsidR="00DC306C" w:rsidRPr="005E0F90">
              <w:rPr>
                <w:rFonts w:asciiTheme="minorHAnsi" w:hAnsiTheme="minorHAnsi" w:cstheme="minorHAnsi"/>
              </w:rPr>
              <w:t xml:space="preserve">to secure wider audience for the event. In some of the locations (Makeni, Kenema, Bo and Moyamba) the Town Hall meetings were broadcast live on local radio stations </w:t>
            </w:r>
            <w:r w:rsidR="008454AA" w:rsidRPr="005E0F90">
              <w:rPr>
                <w:rFonts w:asciiTheme="minorHAnsi" w:hAnsiTheme="minorHAnsi" w:cstheme="minorHAnsi"/>
              </w:rPr>
              <w:t xml:space="preserve">to </w:t>
            </w:r>
            <w:r w:rsidR="00DC306C" w:rsidRPr="005E0F90">
              <w:rPr>
                <w:rFonts w:asciiTheme="minorHAnsi" w:hAnsiTheme="minorHAnsi" w:cstheme="minorHAnsi"/>
              </w:rPr>
              <w:t xml:space="preserve">ensure </w:t>
            </w:r>
            <w:r w:rsidR="008454AA" w:rsidRPr="005E0F90">
              <w:rPr>
                <w:rFonts w:asciiTheme="minorHAnsi" w:hAnsiTheme="minorHAnsi" w:cstheme="minorHAnsi"/>
              </w:rPr>
              <w:t>broader outreach of key messages</w:t>
            </w:r>
            <w:r w:rsidR="00DC306C" w:rsidRPr="005E0F90">
              <w:rPr>
                <w:rFonts w:asciiTheme="minorHAnsi" w:hAnsiTheme="minorHAnsi" w:cstheme="minorHAnsi"/>
              </w:rPr>
              <w:t xml:space="preserve"> on the Bail Regulations and current practices. </w:t>
            </w:r>
          </w:p>
          <w:p w:rsidR="00631258" w:rsidRPr="005E0F90" w:rsidRDefault="0055706D" w:rsidP="003E1366">
            <w:pPr>
              <w:spacing w:before="240" w:after="240"/>
              <w:jc w:val="both"/>
              <w:rPr>
                <w:rFonts w:cstheme="minorHAnsi"/>
                <w:b/>
              </w:rPr>
            </w:pPr>
            <w:r w:rsidRPr="005E0F90">
              <w:rPr>
                <w:rFonts w:cstheme="minorHAnsi"/>
                <w:b/>
              </w:rPr>
              <w:t xml:space="preserve">Key Issues emerging on Bail and Sentencing </w:t>
            </w:r>
            <w:r w:rsidR="00C13247" w:rsidRPr="005E0F90">
              <w:rPr>
                <w:rFonts w:cstheme="minorHAnsi"/>
                <w:b/>
              </w:rPr>
              <w:t xml:space="preserve">Regulations </w:t>
            </w:r>
            <w:r w:rsidR="003E1366" w:rsidRPr="005E0F90">
              <w:rPr>
                <w:rFonts w:cstheme="minorHAnsi"/>
                <w:b/>
              </w:rPr>
              <w:t>from Town Hall Meetings</w:t>
            </w:r>
          </w:p>
          <w:p w:rsidR="00CA1F3D" w:rsidRPr="005E0F90" w:rsidRDefault="00EA3948" w:rsidP="000E1B94">
            <w:pPr>
              <w:spacing w:after="0"/>
              <w:jc w:val="both"/>
              <w:rPr>
                <w:rFonts w:cstheme="minorHAnsi"/>
              </w:rPr>
            </w:pPr>
            <w:r w:rsidRPr="005E0F90">
              <w:rPr>
                <w:rFonts w:cstheme="minorHAnsi"/>
              </w:rPr>
              <w:t>Overall, over 1</w:t>
            </w:r>
            <w:r w:rsidR="007F532E" w:rsidRPr="005E0F90">
              <w:rPr>
                <w:rFonts w:cstheme="minorHAnsi"/>
              </w:rPr>
              <w:t>,200 participants attended the 8</w:t>
            </w:r>
            <w:r w:rsidRPr="005E0F90">
              <w:rPr>
                <w:rFonts w:cstheme="minorHAnsi"/>
              </w:rPr>
              <w:t xml:space="preserve"> Town Hall meetings. The attendance exceeded </w:t>
            </w:r>
            <w:r w:rsidR="00B964D4" w:rsidRPr="005E0F90">
              <w:rPr>
                <w:rFonts w:cstheme="minorHAnsi"/>
              </w:rPr>
              <w:t>the expected</w:t>
            </w:r>
            <w:r w:rsidRPr="005E0F90">
              <w:rPr>
                <w:rFonts w:cstheme="minorHAnsi"/>
              </w:rPr>
              <w:t xml:space="preserve"> 1,</w:t>
            </w:r>
            <w:r w:rsidR="007F532E" w:rsidRPr="005E0F90">
              <w:rPr>
                <w:rFonts w:cstheme="minorHAnsi"/>
              </w:rPr>
              <w:t>200</w:t>
            </w:r>
            <w:r w:rsidRPr="005E0F90">
              <w:rPr>
                <w:rFonts w:cstheme="minorHAnsi"/>
              </w:rPr>
              <w:t xml:space="preserve"> people initially invited. The massive attendance could be justified by the sensitive nature of the legislation to be discussed and people’s urge to learn from the Judiciary itself on what the normal practice </w:t>
            </w:r>
            <w:r w:rsidR="00B964D4" w:rsidRPr="005E0F90">
              <w:rPr>
                <w:rFonts w:cstheme="minorHAnsi"/>
              </w:rPr>
              <w:t>on bail and sentencing is amidst the perceived numerous counter-interpretations on the same topic.</w:t>
            </w:r>
            <w:r w:rsidR="00373B4A" w:rsidRPr="005E0F90">
              <w:rPr>
                <w:rFonts w:cstheme="minorHAnsi"/>
              </w:rPr>
              <w:t xml:space="preserve"> </w:t>
            </w:r>
            <w:r w:rsidR="0055706D" w:rsidRPr="005E0F90">
              <w:rPr>
                <w:rFonts w:cstheme="minorHAnsi"/>
              </w:rPr>
              <w:t xml:space="preserve">The content of the new Bail and Sentencing regulations was presented by the </w:t>
            </w:r>
            <w:r w:rsidR="00CA1F3D" w:rsidRPr="005E0F90">
              <w:rPr>
                <w:rFonts w:cstheme="minorHAnsi"/>
              </w:rPr>
              <w:t>Judiciary focusing on the following points:</w:t>
            </w:r>
          </w:p>
          <w:p w:rsidR="00CA1F3D" w:rsidRPr="005E0F90" w:rsidRDefault="00CA1F3D" w:rsidP="00CA1F3D">
            <w:pPr>
              <w:pStyle w:val="ListParagraph"/>
              <w:numPr>
                <w:ilvl w:val="0"/>
                <w:numId w:val="28"/>
              </w:numPr>
              <w:jc w:val="both"/>
              <w:rPr>
                <w:rFonts w:cstheme="minorHAnsi"/>
                <w:sz w:val="22"/>
                <w:szCs w:val="22"/>
              </w:rPr>
            </w:pPr>
            <w:r w:rsidRPr="005E0F90">
              <w:rPr>
                <w:rFonts w:cstheme="minorHAnsi"/>
                <w:sz w:val="22"/>
                <w:szCs w:val="22"/>
              </w:rPr>
              <w:t xml:space="preserve">Bail is </w:t>
            </w:r>
            <w:r w:rsidR="00AD4DED" w:rsidRPr="005E0F90">
              <w:rPr>
                <w:rFonts w:cstheme="minorHAnsi"/>
                <w:sz w:val="22"/>
                <w:szCs w:val="22"/>
              </w:rPr>
              <w:t xml:space="preserve">a </w:t>
            </w:r>
            <w:r w:rsidRPr="005E0F90">
              <w:rPr>
                <w:rFonts w:cstheme="minorHAnsi"/>
                <w:sz w:val="22"/>
                <w:szCs w:val="22"/>
              </w:rPr>
              <w:t>right and an accused person can only be deprived of</w:t>
            </w:r>
            <w:r w:rsidR="002E1304" w:rsidRPr="005E0F90">
              <w:rPr>
                <w:rFonts w:cstheme="minorHAnsi"/>
                <w:sz w:val="22"/>
                <w:szCs w:val="22"/>
              </w:rPr>
              <w:t xml:space="preserve"> his/her liberty for </w:t>
            </w:r>
            <w:r w:rsidR="00C13247" w:rsidRPr="005E0F90">
              <w:rPr>
                <w:rFonts w:cstheme="minorHAnsi"/>
                <w:sz w:val="22"/>
                <w:szCs w:val="22"/>
              </w:rPr>
              <w:t>serious felonious crimes carrying death or li</w:t>
            </w:r>
            <w:r w:rsidR="002E1304" w:rsidRPr="005E0F90">
              <w:rPr>
                <w:rFonts w:cstheme="minorHAnsi"/>
                <w:sz w:val="22"/>
                <w:szCs w:val="22"/>
              </w:rPr>
              <w:t>fe sentences</w:t>
            </w:r>
            <w:r w:rsidRPr="005E0F90">
              <w:rPr>
                <w:rFonts w:cstheme="minorHAnsi"/>
                <w:sz w:val="22"/>
                <w:szCs w:val="22"/>
              </w:rPr>
              <w:t>;</w:t>
            </w:r>
          </w:p>
          <w:p w:rsidR="00CA1F3D" w:rsidRPr="005E0F90" w:rsidRDefault="00CA1F3D" w:rsidP="00CA1F3D">
            <w:pPr>
              <w:pStyle w:val="ListParagraph"/>
              <w:numPr>
                <w:ilvl w:val="0"/>
                <w:numId w:val="28"/>
              </w:numPr>
              <w:jc w:val="both"/>
              <w:rPr>
                <w:rFonts w:cstheme="minorHAnsi"/>
                <w:sz w:val="22"/>
                <w:szCs w:val="22"/>
              </w:rPr>
            </w:pPr>
            <w:r w:rsidRPr="005E0F90">
              <w:rPr>
                <w:rFonts w:cstheme="minorHAnsi"/>
                <w:sz w:val="22"/>
                <w:szCs w:val="22"/>
              </w:rPr>
              <w:t xml:space="preserve">Being a right, bail must be considered by the court itself regardless of whether the accused/defendant has raised </w:t>
            </w:r>
            <w:r w:rsidR="00C13247" w:rsidRPr="005E0F90">
              <w:rPr>
                <w:rFonts w:cstheme="minorHAnsi"/>
                <w:sz w:val="22"/>
                <w:szCs w:val="22"/>
              </w:rPr>
              <w:t xml:space="preserve">it </w:t>
            </w:r>
            <w:r w:rsidRPr="005E0F90">
              <w:rPr>
                <w:rFonts w:cstheme="minorHAnsi"/>
                <w:sz w:val="22"/>
                <w:szCs w:val="22"/>
              </w:rPr>
              <w:t>himself or through his lawyer;</w:t>
            </w:r>
          </w:p>
          <w:p w:rsidR="00CA1F3D" w:rsidRPr="005E0F90" w:rsidRDefault="00CA1F3D" w:rsidP="00CA1F3D">
            <w:pPr>
              <w:pStyle w:val="ListParagraph"/>
              <w:numPr>
                <w:ilvl w:val="0"/>
                <w:numId w:val="28"/>
              </w:numPr>
              <w:jc w:val="both"/>
              <w:rPr>
                <w:rFonts w:cstheme="minorHAnsi"/>
                <w:sz w:val="22"/>
                <w:szCs w:val="22"/>
              </w:rPr>
            </w:pPr>
            <w:r w:rsidRPr="005E0F90">
              <w:rPr>
                <w:rFonts w:cstheme="minorHAnsi"/>
                <w:sz w:val="22"/>
                <w:szCs w:val="22"/>
              </w:rPr>
              <w:t>The role of sureties is limited to ensuring the presence of the defendant in court and a surety is not mandated to accompany the defendant at all court sittings</w:t>
            </w:r>
            <w:r w:rsidR="00C13247" w:rsidRPr="005E0F90">
              <w:rPr>
                <w:rFonts w:cstheme="minorHAnsi"/>
                <w:sz w:val="22"/>
                <w:szCs w:val="22"/>
              </w:rPr>
              <w:t>; the surety has the duty to inform the court about the non-attendance of the defendant at any sitting and the reasons therefrom;</w:t>
            </w:r>
          </w:p>
          <w:p w:rsidR="00CA1F3D" w:rsidRPr="005E0F90" w:rsidRDefault="005E0F90" w:rsidP="00CA1F3D">
            <w:pPr>
              <w:pStyle w:val="ListParagraph"/>
              <w:numPr>
                <w:ilvl w:val="0"/>
                <w:numId w:val="28"/>
              </w:numPr>
              <w:jc w:val="both"/>
              <w:rPr>
                <w:rFonts w:cstheme="minorHAnsi"/>
                <w:sz w:val="22"/>
                <w:szCs w:val="22"/>
              </w:rPr>
            </w:pPr>
            <w:r w:rsidRPr="005E0F90">
              <w:rPr>
                <w:rFonts w:cstheme="minorHAnsi"/>
                <w:sz w:val="22"/>
                <w:szCs w:val="22"/>
              </w:rPr>
              <w:t>That w</w:t>
            </w:r>
            <w:r w:rsidR="002E1304" w:rsidRPr="005E0F90">
              <w:rPr>
                <w:rFonts w:cstheme="minorHAnsi"/>
                <w:sz w:val="22"/>
                <w:szCs w:val="22"/>
              </w:rPr>
              <w:t xml:space="preserve">omen </w:t>
            </w:r>
            <w:r w:rsidRPr="005E0F90">
              <w:rPr>
                <w:rFonts w:cstheme="minorHAnsi"/>
                <w:sz w:val="22"/>
                <w:szCs w:val="22"/>
              </w:rPr>
              <w:t>can stand as sureties on equal basis as men</w:t>
            </w:r>
            <w:r w:rsidR="00CA1F3D" w:rsidRPr="005E0F90">
              <w:rPr>
                <w:rFonts w:cstheme="minorHAnsi"/>
                <w:sz w:val="22"/>
                <w:szCs w:val="22"/>
              </w:rPr>
              <w:t xml:space="preserve">; </w:t>
            </w:r>
            <w:r w:rsidR="00C13247" w:rsidRPr="005E0F90">
              <w:rPr>
                <w:rFonts w:cstheme="minorHAnsi"/>
                <w:sz w:val="22"/>
                <w:szCs w:val="22"/>
              </w:rPr>
              <w:t>and a surety is entitled to stand in for</w:t>
            </w:r>
            <w:r w:rsidRPr="005E0F90">
              <w:rPr>
                <w:rFonts w:cstheme="minorHAnsi"/>
                <w:sz w:val="22"/>
                <w:szCs w:val="22"/>
              </w:rPr>
              <w:t xml:space="preserve"> several defendants, however the Court can object to what is termed “professional” sureties, e.i. people making profit to stand as sureties;</w:t>
            </w:r>
            <w:r w:rsidR="00C13247" w:rsidRPr="005E0F90">
              <w:rPr>
                <w:rFonts w:cstheme="minorHAnsi"/>
                <w:sz w:val="22"/>
                <w:szCs w:val="22"/>
              </w:rPr>
              <w:t xml:space="preserve"> </w:t>
            </w:r>
          </w:p>
          <w:p w:rsidR="00CA1F3D" w:rsidRPr="005E0F90" w:rsidRDefault="00CA1F3D" w:rsidP="00CA1F3D">
            <w:pPr>
              <w:pStyle w:val="ListParagraph"/>
              <w:numPr>
                <w:ilvl w:val="0"/>
                <w:numId w:val="28"/>
              </w:numPr>
              <w:jc w:val="both"/>
              <w:rPr>
                <w:rFonts w:cstheme="minorHAnsi"/>
                <w:sz w:val="22"/>
                <w:szCs w:val="22"/>
              </w:rPr>
            </w:pPr>
            <w:r w:rsidRPr="005E0F90">
              <w:rPr>
                <w:rFonts w:cstheme="minorHAnsi"/>
                <w:sz w:val="22"/>
                <w:szCs w:val="22"/>
              </w:rPr>
              <w:t>A surety will forfeit the guarantee of the bail condition rather than being arrested and detained in the event of an absconding defendant;</w:t>
            </w:r>
          </w:p>
          <w:p w:rsidR="0019537B" w:rsidRPr="005E0F90" w:rsidRDefault="00C13247" w:rsidP="00CA1F3D">
            <w:pPr>
              <w:pStyle w:val="ListParagraph"/>
              <w:numPr>
                <w:ilvl w:val="0"/>
                <w:numId w:val="28"/>
              </w:numPr>
              <w:jc w:val="both"/>
              <w:rPr>
                <w:rFonts w:cstheme="minorHAnsi"/>
                <w:sz w:val="22"/>
                <w:szCs w:val="22"/>
              </w:rPr>
            </w:pPr>
            <w:r w:rsidRPr="005E0F90">
              <w:rPr>
                <w:rFonts w:cstheme="minorHAnsi"/>
                <w:sz w:val="22"/>
                <w:szCs w:val="22"/>
              </w:rPr>
              <w:t xml:space="preserve">Bail conditions to be </w:t>
            </w:r>
            <w:r w:rsidR="0019537B" w:rsidRPr="005E0F90">
              <w:rPr>
                <w:rFonts w:cstheme="minorHAnsi"/>
                <w:sz w:val="22"/>
                <w:szCs w:val="22"/>
              </w:rPr>
              <w:t>set with due regard to the severity of the offence and not</w:t>
            </w:r>
            <w:r w:rsidRPr="005E0F90">
              <w:rPr>
                <w:rFonts w:cstheme="minorHAnsi"/>
                <w:sz w:val="22"/>
                <w:szCs w:val="22"/>
              </w:rPr>
              <w:t xml:space="preserve"> the sole consideration of the presiding court official</w:t>
            </w:r>
            <w:r w:rsidR="0019537B" w:rsidRPr="005E0F90">
              <w:rPr>
                <w:rFonts w:cstheme="minorHAnsi"/>
                <w:sz w:val="22"/>
                <w:szCs w:val="22"/>
              </w:rPr>
              <w:t>;</w:t>
            </w:r>
            <w:r w:rsidRPr="005E0F90">
              <w:rPr>
                <w:rFonts w:cstheme="minorHAnsi"/>
                <w:sz w:val="22"/>
                <w:szCs w:val="22"/>
              </w:rPr>
              <w:t xml:space="preserve"> </w:t>
            </w:r>
          </w:p>
          <w:p w:rsidR="00C13247" w:rsidRPr="005E0F90" w:rsidRDefault="00C13247" w:rsidP="00CA1F3D">
            <w:pPr>
              <w:pStyle w:val="ListParagraph"/>
              <w:numPr>
                <w:ilvl w:val="0"/>
                <w:numId w:val="28"/>
              </w:numPr>
              <w:jc w:val="both"/>
              <w:rPr>
                <w:rFonts w:cstheme="minorHAnsi"/>
                <w:sz w:val="22"/>
                <w:szCs w:val="22"/>
              </w:rPr>
            </w:pPr>
            <w:r w:rsidRPr="005E0F90">
              <w:rPr>
                <w:rFonts w:cstheme="minorHAnsi"/>
                <w:sz w:val="22"/>
                <w:szCs w:val="22"/>
              </w:rPr>
              <w:t xml:space="preserve">Depositing money to fulfil bail can only be used in cases where the complainant has suffered monetary loss (a sum of money); </w:t>
            </w:r>
          </w:p>
          <w:p w:rsidR="0019537B" w:rsidRPr="005E0F90" w:rsidRDefault="0019537B" w:rsidP="00CA1F3D">
            <w:pPr>
              <w:pStyle w:val="ListParagraph"/>
              <w:numPr>
                <w:ilvl w:val="0"/>
                <w:numId w:val="28"/>
              </w:numPr>
              <w:jc w:val="both"/>
              <w:rPr>
                <w:rFonts w:cstheme="minorHAnsi"/>
                <w:sz w:val="22"/>
                <w:szCs w:val="22"/>
              </w:rPr>
            </w:pPr>
            <w:r w:rsidRPr="005E0F90">
              <w:rPr>
                <w:rFonts w:cstheme="minorHAnsi"/>
                <w:sz w:val="22"/>
                <w:szCs w:val="22"/>
              </w:rPr>
              <w:t>Any decision reached by a sitting court on bail must be penned down in writing and a copy given to the defendant for the purposes of appeal;</w:t>
            </w:r>
          </w:p>
          <w:p w:rsidR="0019537B" w:rsidRPr="005E0F90" w:rsidRDefault="0019537B" w:rsidP="00CA1F3D">
            <w:pPr>
              <w:pStyle w:val="ListParagraph"/>
              <w:numPr>
                <w:ilvl w:val="0"/>
                <w:numId w:val="28"/>
              </w:numPr>
              <w:jc w:val="both"/>
              <w:rPr>
                <w:rFonts w:cstheme="minorHAnsi"/>
                <w:sz w:val="22"/>
                <w:szCs w:val="22"/>
              </w:rPr>
            </w:pPr>
            <w:r w:rsidRPr="005E0F90">
              <w:rPr>
                <w:rFonts w:cstheme="minorHAnsi"/>
                <w:sz w:val="22"/>
                <w:szCs w:val="22"/>
              </w:rPr>
              <w:t>The requirement of presenting title deeds has been curbed and now only limited to serious offences; equally, the requirement for identification documents has been broadened to include the presentation of secondary documentation on a person (e.g. driver’s license, a sworn affidavit from a local authority…etc.);</w:t>
            </w:r>
          </w:p>
          <w:p w:rsidR="00A24F07" w:rsidRPr="005E0F90" w:rsidRDefault="0019537B" w:rsidP="00CA1F3D">
            <w:pPr>
              <w:pStyle w:val="ListParagraph"/>
              <w:numPr>
                <w:ilvl w:val="0"/>
                <w:numId w:val="28"/>
              </w:numPr>
              <w:jc w:val="both"/>
              <w:rPr>
                <w:rFonts w:cstheme="minorHAnsi"/>
                <w:sz w:val="22"/>
                <w:szCs w:val="22"/>
              </w:rPr>
            </w:pPr>
            <w:r w:rsidRPr="005E0F90">
              <w:rPr>
                <w:rFonts w:cstheme="minorHAnsi"/>
                <w:sz w:val="22"/>
                <w:szCs w:val="22"/>
              </w:rPr>
              <w:t>Sentencing to take into account mitigating as well as aggravating circumstances; the f</w:t>
            </w:r>
            <w:r w:rsidR="005E0F90" w:rsidRPr="005E0F90">
              <w:rPr>
                <w:rFonts w:cstheme="minorHAnsi"/>
                <w:sz w:val="22"/>
                <w:szCs w:val="22"/>
              </w:rPr>
              <w:t>act that the convicted person is a first-</w:t>
            </w:r>
            <w:r w:rsidRPr="005E0F90">
              <w:rPr>
                <w:rFonts w:cstheme="minorHAnsi"/>
                <w:sz w:val="22"/>
                <w:szCs w:val="22"/>
              </w:rPr>
              <w:t>time offender; caregivers and lactating mothers</w:t>
            </w:r>
            <w:r w:rsidR="00A24F07" w:rsidRPr="005E0F90">
              <w:rPr>
                <w:rFonts w:cstheme="minorHAnsi"/>
                <w:sz w:val="22"/>
                <w:szCs w:val="22"/>
              </w:rPr>
              <w:t>,</w:t>
            </w:r>
            <w:r w:rsidRPr="005E0F90">
              <w:rPr>
                <w:rFonts w:cstheme="minorHAnsi"/>
                <w:sz w:val="22"/>
                <w:szCs w:val="22"/>
              </w:rPr>
              <w:t xml:space="preserve"> </w:t>
            </w:r>
            <w:r w:rsidR="00A24F07" w:rsidRPr="005E0F90">
              <w:rPr>
                <w:rFonts w:cstheme="minorHAnsi"/>
                <w:sz w:val="22"/>
                <w:szCs w:val="22"/>
              </w:rPr>
              <w:t xml:space="preserve">handicapped and </w:t>
            </w:r>
            <w:r w:rsidR="00A24F07" w:rsidRPr="005E0F90">
              <w:rPr>
                <w:rFonts w:cstheme="minorHAnsi"/>
                <w:sz w:val="22"/>
                <w:szCs w:val="22"/>
              </w:rPr>
              <w:lastRenderedPageBreak/>
              <w:t xml:space="preserve">disabled persons </w:t>
            </w:r>
            <w:r w:rsidRPr="005E0F90">
              <w:rPr>
                <w:rFonts w:cstheme="minorHAnsi"/>
                <w:sz w:val="22"/>
                <w:szCs w:val="22"/>
              </w:rPr>
              <w:t>only to be imprisoned in extremely exceptional circumstances</w:t>
            </w:r>
            <w:r w:rsidR="00A24F07" w:rsidRPr="005E0F90">
              <w:rPr>
                <w:rFonts w:cstheme="minorHAnsi"/>
                <w:sz w:val="22"/>
                <w:szCs w:val="22"/>
              </w:rPr>
              <w:t xml:space="preserve">; </w:t>
            </w:r>
          </w:p>
          <w:p w:rsidR="00A24F07" w:rsidRPr="005E0F90" w:rsidRDefault="00A24F07" w:rsidP="00534E1B">
            <w:pPr>
              <w:pStyle w:val="ListParagraph"/>
              <w:numPr>
                <w:ilvl w:val="0"/>
                <w:numId w:val="28"/>
              </w:numPr>
              <w:jc w:val="both"/>
              <w:rPr>
                <w:rFonts w:cstheme="minorHAnsi"/>
                <w:sz w:val="22"/>
                <w:szCs w:val="22"/>
              </w:rPr>
            </w:pPr>
            <w:r w:rsidRPr="005E0F90">
              <w:rPr>
                <w:rFonts w:cstheme="minorHAnsi"/>
                <w:sz w:val="22"/>
                <w:szCs w:val="22"/>
              </w:rPr>
              <w:t xml:space="preserve">Community </w:t>
            </w:r>
            <w:r w:rsidR="005E0F90" w:rsidRPr="005E0F90">
              <w:rPr>
                <w:rFonts w:cstheme="minorHAnsi"/>
                <w:sz w:val="22"/>
                <w:szCs w:val="22"/>
              </w:rPr>
              <w:t>punishment order, suspended and deferred sentencing will</w:t>
            </w:r>
            <w:r w:rsidRPr="005E0F90">
              <w:rPr>
                <w:rFonts w:cstheme="minorHAnsi"/>
                <w:sz w:val="22"/>
                <w:szCs w:val="22"/>
              </w:rPr>
              <w:t xml:space="preserve"> be introduced through the</w:t>
            </w:r>
            <w:r w:rsidR="005E0F90" w:rsidRPr="005E0F90">
              <w:rPr>
                <w:rFonts w:cstheme="minorHAnsi"/>
                <w:sz w:val="22"/>
                <w:szCs w:val="22"/>
              </w:rPr>
              <w:t xml:space="preserve"> approval of the revised</w:t>
            </w:r>
            <w:r w:rsidRPr="005E0F90">
              <w:rPr>
                <w:rFonts w:cstheme="minorHAnsi"/>
                <w:sz w:val="22"/>
                <w:szCs w:val="22"/>
              </w:rPr>
              <w:t xml:space="preserve"> Criminal Procedure Bill;</w:t>
            </w:r>
          </w:p>
          <w:p w:rsidR="00534E1B" w:rsidRPr="005E0F90" w:rsidRDefault="00534E1B" w:rsidP="00534E1B">
            <w:pPr>
              <w:spacing w:after="0"/>
              <w:jc w:val="both"/>
              <w:rPr>
                <w:rFonts w:cstheme="minorHAnsi"/>
              </w:rPr>
            </w:pPr>
          </w:p>
          <w:p w:rsidR="00A7070B" w:rsidRPr="005E0F90" w:rsidRDefault="00A24F07" w:rsidP="00534E1B">
            <w:pPr>
              <w:spacing w:before="120" w:after="0"/>
              <w:jc w:val="both"/>
              <w:rPr>
                <w:rFonts w:cstheme="minorHAnsi"/>
                <w:b/>
              </w:rPr>
            </w:pPr>
            <w:r w:rsidRPr="005E0F90">
              <w:rPr>
                <w:rFonts w:cstheme="minorHAnsi"/>
              </w:rPr>
              <w:t xml:space="preserve"> </w:t>
            </w:r>
            <w:r w:rsidR="0019537B" w:rsidRPr="005E0F90">
              <w:rPr>
                <w:rFonts w:cstheme="minorHAnsi"/>
              </w:rPr>
              <w:t xml:space="preserve">  </w:t>
            </w:r>
            <w:r w:rsidR="00CA1F3D" w:rsidRPr="005E0F90">
              <w:rPr>
                <w:rFonts w:cstheme="minorHAnsi"/>
              </w:rPr>
              <w:t xml:space="preserve">   </w:t>
            </w:r>
            <w:r w:rsidR="00A7070B" w:rsidRPr="005E0F90">
              <w:rPr>
                <w:rFonts w:cstheme="minorHAnsi"/>
                <w:b/>
              </w:rPr>
              <w:t>Key Discussion Points</w:t>
            </w:r>
            <w:r w:rsidR="00DE545B">
              <w:rPr>
                <w:rFonts w:cstheme="minorHAnsi"/>
                <w:b/>
              </w:rPr>
              <w:t xml:space="preserve"> and Observations</w:t>
            </w:r>
            <w:r w:rsidR="00A7070B" w:rsidRPr="005E0F90">
              <w:rPr>
                <w:rFonts w:cstheme="minorHAnsi"/>
                <w:b/>
              </w:rPr>
              <w:t xml:space="preserve"> from Bail and Sentencing Regulation </w:t>
            </w:r>
            <w:r w:rsidR="00DE545B">
              <w:rPr>
                <w:rFonts w:cstheme="minorHAnsi"/>
                <w:b/>
              </w:rPr>
              <w:t>Town Hall Meetings</w:t>
            </w:r>
          </w:p>
          <w:p w:rsidR="006655AF" w:rsidRPr="005E0F90" w:rsidRDefault="006655AF" w:rsidP="00A7070B">
            <w:pPr>
              <w:spacing w:after="0"/>
              <w:jc w:val="both"/>
              <w:rPr>
                <w:rFonts w:cstheme="minorHAnsi"/>
              </w:rPr>
            </w:pPr>
            <w:r w:rsidRPr="005E0F90">
              <w:rPr>
                <w:rFonts w:cstheme="minorHAnsi"/>
              </w:rPr>
              <w:t xml:space="preserve">From the presentation on the Bail and Sentencing Regulations, discussions that ensured showcased practices that negated people’s fundamental rights to bail with potential for tension at community levels. The following key points were gathered from feedback from participants: </w:t>
            </w:r>
          </w:p>
          <w:p w:rsidR="006655AF" w:rsidRPr="005E0F90" w:rsidRDefault="006655AF" w:rsidP="006655AF">
            <w:pPr>
              <w:pStyle w:val="ListParagraph"/>
              <w:numPr>
                <w:ilvl w:val="0"/>
                <w:numId w:val="29"/>
              </w:numPr>
              <w:jc w:val="both"/>
              <w:rPr>
                <w:rFonts w:cstheme="minorHAnsi"/>
                <w:sz w:val="22"/>
                <w:szCs w:val="22"/>
              </w:rPr>
            </w:pPr>
            <w:r w:rsidRPr="005E0F90">
              <w:rPr>
                <w:rFonts w:cstheme="minorHAnsi"/>
                <w:sz w:val="22"/>
                <w:szCs w:val="22"/>
              </w:rPr>
              <w:t>Corrupt practices from both the court and at police levels impede on the enjoyment of the right to bail;</w:t>
            </w:r>
          </w:p>
          <w:p w:rsidR="006655AF" w:rsidRPr="005E0F90" w:rsidRDefault="006655AF" w:rsidP="006655AF">
            <w:pPr>
              <w:pStyle w:val="ListParagraph"/>
              <w:numPr>
                <w:ilvl w:val="0"/>
                <w:numId w:val="29"/>
              </w:numPr>
              <w:jc w:val="both"/>
              <w:rPr>
                <w:rFonts w:cstheme="minorHAnsi"/>
                <w:sz w:val="22"/>
                <w:szCs w:val="22"/>
              </w:rPr>
            </w:pPr>
            <w:r w:rsidRPr="005E0F90">
              <w:rPr>
                <w:rFonts w:cstheme="minorHAnsi"/>
                <w:sz w:val="22"/>
                <w:szCs w:val="22"/>
              </w:rPr>
              <w:t xml:space="preserve">Unreasonable conditions set by presiding officials in relation to bail even for minor offences: e.g. requirement of landed property for minor offences;  </w:t>
            </w:r>
          </w:p>
          <w:p w:rsidR="006655AF" w:rsidRPr="005E0F90" w:rsidRDefault="006655AF" w:rsidP="006655AF">
            <w:pPr>
              <w:pStyle w:val="ListParagraph"/>
              <w:numPr>
                <w:ilvl w:val="0"/>
                <w:numId w:val="29"/>
              </w:numPr>
              <w:jc w:val="both"/>
              <w:rPr>
                <w:rFonts w:cstheme="minorHAnsi"/>
                <w:sz w:val="22"/>
                <w:szCs w:val="22"/>
              </w:rPr>
            </w:pPr>
            <w:r w:rsidRPr="005E0F90">
              <w:rPr>
                <w:rFonts w:cstheme="minorHAnsi"/>
                <w:sz w:val="22"/>
                <w:szCs w:val="22"/>
              </w:rPr>
              <w:t>Requests made by some court officials for the deposit of amounts set for the bail bond;</w:t>
            </w:r>
          </w:p>
          <w:p w:rsidR="006655AF" w:rsidRPr="005E0F90" w:rsidRDefault="006655AF" w:rsidP="006655AF">
            <w:pPr>
              <w:pStyle w:val="ListParagraph"/>
              <w:numPr>
                <w:ilvl w:val="0"/>
                <w:numId w:val="29"/>
              </w:numPr>
              <w:jc w:val="both"/>
              <w:rPr>
                <w:rFonts w:cstheme="minorHAnsi"/>
                <w:sz w:val="22"/>
                <w:szCs w:val="22"/>
              </w:rPr>
            </w:pPr>
            <w:r w:rsidRPr="005E0F90">
              <w:rPr>
                <w:rFonts w:cstheme="minorHAnsi"/>
                <w:sz w:val="22"/>
                <w:szCs w:val="22"/>
              </w:rPr>
              <w:t>Serious delays in the processing of bail applications and verification of documentation provided to the court leading to influence peddling and corruption;</w:t>
            </w:r>
          </w:p>
          <w:p w:rsidR="005A2181" w:rsidRPr="005E0F90" w:rsidRDefault="00534E1B" w:rsidP="006655AF">
            <w:pPr>
              <w:pStyle w:val="ListParagraph"/>
              <w:numPr>
                <w:ilvl w:val="0"/>
                <w:numId w:val="29"/>
              </w:numPr>
              <w:jc w:val="both"/>
              <w:rPr>
                <w:rFonts w:cstheme="minorHAnsi"/>
                <w:sz w:val="22"/>
                <w:szCs w:val="22"/>
              </w:rPr>
            </w:pPr>
            <w:r w:rsidRPr="005E0F90">
              <w:rPr>
                <w:rFonts w:cstheme="minorHAnsi"/>
                <w:sz w:val="22"/>
                <w:szCs w:val="22"/>
              </w:rPr>
              <w:t xml:space="preserve">Lack of knowledge on legal processes leading to magistrates initiating arbitrary processes against defendant (e.g. a magistrate court at district level remanded a female pregnant litigant for contempt of court leading to her detention for more than 15 days and the female litigant was only freed during the Town Hall meetings after intervention of the Judge from Freetown. Worth noting that the female defendant was brought to court on a debt charge. In another case at district level, a heavily pregnant female defendant (near delivery of her child) was charged to court for simple loitering (which has a maximum sentence of 3 month with option of </w:t>
            </w:r>
            <w:r w:rsidR="005A2181" w:rsidRPr="005E0F90">
              <w:rPr>
                <w:rFonts w:cstheme="minorHAnsi"/>
                <w:sz w:val="22"/>
                <w:szCs w:val="22"/>
              </w:rPr>
              <w:t>a fine</w:t>
            </w:r>
            <w:r w:rsidRPr="005E0F90">
              <w:rPr>
                <w:rFonts w:cstheme="minorHAnsi"/>
                <w:sz w:val="22"/>
                <w:szCs w:val="22"/>
              </w:rPr>
              <w:t xml:space="preserve">) </w:t>
            </w:r>
            <w:r w:rsidR="005A2181" w:rsidRPr="005E0F90">
              <w:rPr>
                <w:rFonts w:cstheme="minorHAnsi"/>
                <w:sz w:val="22"/>
                <w:szCs w:val="22"/>
              </w:rPr>
              <w:t xml:space="preserve">but she was sentenced to 6 months imprisonment without alternative of a fine. She was only released with the intervention of the Judge from Freetown. </w:t>
            </w:r>
          </w:p>
          <w:p w:rsidR="00534E1B" w:rsidRPr="005E0F90" w:rsidRDefault="005A2181" w:rsidP="006655AF">
            <w:pPr>
              <w:pStyle w:val="ListParagraph"/>
              <w:numPr>
                <w:ilvl w:val="0"/>
                <w:numId w:val="29"/>
              </w:numPr>
              <w:jc w:val="both"/>
              <w:rPr>
                <w:rFonts w:cstheme="minorHAnsi"/>
                <w:sz w:val="22"/>
                <w:szCs w:val="22"/>
              </w:rPr>
            </w:pPr>
            <w:r w:rsidRPr="005E0F90">
              <w:rPr>
                <w:rFonts w:cstheme="minorHAnsi"/>
                <w:sz w:val="22"/>
                <w:szCs w:val="22"/>
              </w:rPr>
              <w:t>C</w:t>
            </w:r>
            <w:r w:rsidR="00534E1B" w:rsidRPr="005E0F90">
              <w:rPr>
                <w:rFonts w:cstheme="minorHAnsi"/>
                <w:sz w:val="22"/>
                <w:szCs w:val="22"/>
              </w:rPr>
              <w:t>ourt officials exploiting the ignorance of court users on bail and sentencing to extort money</w:t>
            </w:r>
            <w:r w:rsidRPr="005E0F90">
              <w:rPr>
                <w:rFonts w:cstheme="minorHAnsi"/>
                <w:sz w:val="22"/>
                <w:szCs w:val="22"/>
              </w:rPr>
              <w:t xml:space="preserve"> through requests not related to normal practices on bail and sentencing</w:t>
            </w:r>
            <w:r w:rsidR="00534E1B" w:rsidRPr="005E0F90">
              <w:rPr>
                <w:rFonts w:cstheme="minorHAnsi"/>
                <w:sz w:val="22"/>
                <w:szCs w:val="22"/>
              </w:rPr>
              <w:t>;</w:t>
            </w:r>
            <w:r w:rsidRPr="005E0F90">
              <w:rPr>
                <w:rFonts w:cstheme="minorHAnsi"/>
                <w:sz w:val="22"/>
                <w:szCs w:val="22"/>
              </w:rPr>
              <w:t xml:space="preserve"> </w:t>
            </w:r>
          </w:p>
          <w:p w:rsidR="006655AF" w:rsidRDefault="00534E1B" w:rsidP="005A2181">
            <w:pPr>
              <w:pStyle w:val="ListParagraph"/>
              <w:numPr>
                <w:ilvl w:val="0"/>
                <w:numId w:val="29"/>
              </w:numPr>
              <w:spacing w:after="240"/>
              <w:jc w:val="both"/>
              <w:rPr>
                <w:rFonts w:cstheme="minorHAnsi"/>
                <w:sz w:val="22"/>
                <w:szCs w:val="22"/>
              </w:rPr>
            </w:pPr>
            <w:r w:rsidRPr="005E0F90">
              <w:rPr>
                <w:rFonts w:cstheme="minorHAnsi"/>
                <w:sz w:val="22"/>
                <w:szCs w:val="22"/>
              </w:rPr>
              <w:t>Limited knowledge on sentencing leading to arbitrary sentences</w:t>
            </w:r>
            <w:r w:rsidR="005A2181" w:rsidRPr="005E0F90">
              <w:rPr>
                <w:rFonts w:cstheme="minorHAnsi"/>
                <w:sz w:val="22"/>
                <w:szCs w:val="22"/>
              </w:rPr>
              <w:t>.</w:t>
            </w:r>
          </w:p>
          <w:p w:rsidR="00DE545B" w:rsidRDefault="00DE545B" w:rsidP="00DE545B">
            <w:pPr>
              <w:spacing w:after="240"/>
              <w:jc w:val="both"/>
              <w:rPr>
                <w:rFonts w:cstheme="minorHAnsi"/>
              </w:rPr>
            </w:pPr>
            <w:r>
              <w:rPr>
                <w:rFonts w:cstheme="minorHAnsi"/>
              </w:rPr>
              <w:t>The Judiciary has shown continued leadership and commitment to the bail and sentencing project which was evident also in the Town Hall meetings. Critical questions by the general public were answered openly but also with resolve. Examples of malpractices from Port Loko given by participants instigated the development of a fees and fines list to be posted in all Courts. This has already been acted upon by the focal point of the Working Group Justice Browne-Marke and the Public Relations Officer Moses Kamara.</w:t>
            </w:r>
          </w:p>
          <w:p w:rsidR="00DE545B" w:rsidRPr="00DE545B" w:rsidRDefault="00DE545B" w:rsidP="00DE545B">
            <w:pPr>
              <w:spacing w:after="240"/>
              <w:jc w:val="both"/>
              <w:rPr>
                <w:rFonts w:cstheme="minorHAnsi"/>
              </w:rPr>
            </w:pPr>
            <w:r>
              <w:rPr>
                <w:rFonts w:cstheme="minorHAnsi"/>
              </w:rPr>
              <w:t>The Public Relations Officer had before commencement of the Town Hall meetings received approval by the Chief Justice for a comprehensive media and communications plan. This ensured live-coverage of several of the Town Hall meetings and also radio discussions before and after these as well as press releases and articles to Freetown based newspapers. Therefore, the Town Hall meetings ensured outreach to a much higher number than the 1200 invitees as the Communities were informed of key issues through these different media activities.</w:t>
            </w:r>
          </w:p>
          <w:p w:rsidR="006655AF" w:rsidRPr="005E0F90" w:rsidRDefault="006655AF" w:rsidP="006655AF">
            <w:pPr>
              <w:spacing w:after="0"/>
              <w:jc w:val="both"/>
              <w:rPr>
                <w:rFonts w:cstheme="minorHAnsi"/>
              </w:rPr>
            </w:pPr>
            <w:r w:rsidRPr="005E0F90">
              <w:rPr>
                <w:rFonts w:cstheme="minorHAnsi"/>
                <w:b/>
              </w:rPr>
              <w:t>Conclusion</w:t>
            </w:r>
          </w:p>
          <w:p w:rsidR="00A7070B" w:rsidRPr="005E0F90" w:rsidRDefault="00750E67" w:rsidP="00750E67">
            <w:pPr>
              <w:spacing w:after="0"/>
              <w:jc w:val="both"/>
              <w:rPr>
                <w:rFonts w:cstheme="minorHAnsi"/>
              </w:rPr>
            </w:pPr>
            <w:r w:rsidRPr="005E0F90">
              <w:rPr>
                <w:rFonts w:cstheme="minorHAnsi"/>
              </w:rPr>
              <w:t xml:space="preserve">Output one (1) of the Project titled “Promoting transparency in the Sierra Leone Judiciary” was set out to ensure that </w:t>
            </w:r>
            <w:r w:rsidRPr="005E0F90">
              <w:rPr>
                <w:rFonts w:cstheme="minorHAnsi"/>
                <w:i/>
              </w:rPr>
              <w:t>“Sentencing and bail policies and guidelines are adopted by the mandated judicial authorities”</w:t>
            </w:r>
            <w:r w:rsidRPr="005E0F90">
              <w:rPr>
                <w:rFonts w:cstheme="minorHAnsi"/>
              </w:rPr>
              <w:t xml:space="preserve">. It would be safe to mention that the Town Hall meetings conducted from the 25 to 30 July, 2017 that aimed </w:t>
            </w:r>
            <w:r w:rsidRPr="005E0F90">
              <w:rPr>
                <w:rFonts w:cstheme="minorHAnsi"/>
              </w:rPr>
              <w:lastRenderedPageBreak/>
              <w:t>at bringing the draft regulations to the people is a progressive step moving closer to the final adoption of the regulations</w:t>
            </w:r>
            <w:r w:rsidR="00DE545B">
              <w:rPr>
                <w:rFonts w:cstheme="minorHAnsi"/>
              </w:rPr>
              <w:t xml:space="preserve"> and reiterates the Judiciary’s commitment to ensuring implementation of the new regulation</w:t>
            </w:r>
            <w:bookmarkStart w:id="0" w:name="_GoBack"/>
            <w:bookmarkEnd w:id="0"/>
            <w:r w:rsidR="00DE545B">
              <w:rPr>
                <w:rFonts w:cstheme="minorHAnsi"/>
              </w:rPr>
              <w:t>s</w:t>
            </w:r>
            <w:r w:rsidRPr="005E0F90">
              <w:rPr>
                <w:rFonts w:cstheme="minorHAnsi"/>
              </w:rPr>
              <w:t xml:space="preserve">. Participants across all the </w:t>
            </w:r>
            <w:r w:rsidR="00DE545B">
              <w:rPr>
                <w:rFonts w:cstheme="minorHAnsi"/>
              </w:rPr>
              <w:t>8</w:t>
            </w:r>
            <w:r w:rsidRPr="005E0F90">
              <w:rPr>
                <w:rFonts w:cstheme="minorHAnsi"/>
              </w:rPr>
              <w:t xml:space="preserve"> Town Hall meetings have presented the Judiciary with key facts that need to be worked on to ensure the adopted regulations are not adversely negated during implementation by corrupt practices, delays in processing bail applications as well as parallel bail conditions set by bail processing officers.  </w:t>
            </w:r>
          </w:p>
        </w:tc>
      </w:tr>
      <w:tr w:rsidR="002704FC" w:rsidRPr="00765351" w:rsidTr="005A2181">
        <w:trPr>
          <w:trHeight w:val="1045"/>
        </w:trPr>
        <w:tc>
          <w:tcPr>
            <w:tcW w:w="9871" w:type="dxa"/>
            <w:gridSpan w:val="2"/>
            <w:shd w:val="clear" w:color="auto" w:fill="auto"/>
          </w:tcPr>
          <w:p w:rsidR="002704FC" w:rsidRDefault="000E1B94" w:rsidP="000E1B94">
            <w:pPr>
              <w:tabs>
                <w:tab w:val="left" w:pos="5070"/>
              </w:tabs>
              <w:spacing w:after="0"/>
              <w:jc w:val="both"/>
              <w:rPr>
                <w:rFonts w:cs="Times New Roman"/>
                <w:b/>
              </w:rPr>
            </w:pPr>
            <w:r>
              <w:rPr>
                <w:rFonts w:cs="Times New Roman"/>
                <w:b/>
              </w:rPr>
              <w:lastRenderedPageBreak/>
              <w:t>Distribution list:</w:t>
            </w:r>
          </w:p>
          <w:p w:rsidR="000E1B94" w:rsidRPr="000E1B94" w:rsidRDefault="000E1B94" w:rsidP="000E1B94">
            <w:pPr>
              <w:pStyle w:val="ListParagraph"/>
              <w:numPr>
                <w:ilvl w:val="0"/>
                <w:numId w:val="27"/>
              </w:numPr>
              <w:tabs>
                <w:tab w:val="left" w:pos="5070"/>
              </w:tabs>
              <w:jc w:val="both"/>
              <w:rPr>
                <w:rFonts w:cs="Times New Roman"/>
              </w:rPr>
            </w:pPr>
            <w:r w:rsidRPr="000E1B94">
              <w:rPr>
                <w:rFonts w:cs="Times New Roman"/>
              </w:rPr>
              <w:t>Governance Team Leader</w:t>
            </w:r>
          </w:p>
          <w:p w:rsidR="00FA2BE5" w:rsidRPr="005A2181" w:rsidRDefault="000E1B94" w:rsidP="00417493">
            <w:pPr>
              <w:pStyle w:val="ListParagraph"/>
              <w:numPr>
                <w:ilvl w:val="0"/>
                <w:numId w:val="27"/>
              </w:numPr>
              <w:tabs>
                <w:tab w:val="left" w:pos="5070"/>
              </w:tabs>
              <w:jc w:val="both"/>
              <w:rPr>
                <w:rFonts w:cs="Times New Roman"/>
              </w:rPr>
            </w:pPr>
            <w:r w:rsidRPr="000E1B94">
              <w:rPr>
                <w:rFonts w:cs="Times New Roman"/>
              </w:rPr>
              <w:t>ROL Team</w:t>
            </w:r>
            <w:r w:rsidR="00373B4A">
              <w:rPr>
                <w:rFonts w:cs="Times New Roman"/>
              </w:rPr>
              <w:t xml:space="preserve"> </w:t>
            </w:r>
          </w:p>
        </w:tc>
      </w:tr>
    </w:tbl>
    <w:p w:rsidR="00EF392F" w:rsidRPr="00765351" w:rsidRDefault="00EF392F" w:rsidP="005A2181">
      <w:pPr>
        <w:spacing w:after="120"/>
        <w:jc w:val="center"/>
      </w:pPr>
    </w:p>
    <w:sectPr w:rsidR="00EF392F" w:rsidRPr="00765351" w:rsidSect="00750E67">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9D" w:rsidRDefault="00DC0A9D" w:rsidP="00A57F32">
      <w:pPr>
        <w:spacing w:after="0" w:line="240" w:lineRule="auto"/>
      </w:pPr>
      <w:r>
        <w:separator/>
      </w:r>
    </w:p>
  </w:endnote>
  <w:endnote w:type="continuationSeparator" w:id="0">
    <w:p w:rsidR="00DC0A9D" w:rsidRDefault="00DC0A9D" w:rsidP="00A5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03510"/>
      <w:docPartObj>
        <w:docPartGallery w:val="Page Numbers (Bottom of Page)"/>
        <w:docPartUnique/>
      </w:docPartObj>
    </w:sdtPr>
    <w:sdtEndPr>
      <w:rPr>
        <w:noProof/>
      </w:rPr>
    </w:sdtEndPr>
    <w:sdtContent>
      <w:p w:rsidR="00A57F32" w:rsidRDefault="00A57F32">
        <w:pPr>
          <w:pStyle w:val="Footer"/>
          <w:jc w:val="center"/>
        </w:pPr>
        <w:r>
          <w:fldChar w:fldCharType="begin"/>
        </w:r>
        <w:r>
          <w:instrText xml:space="preserve"> PAGE   \* MERGEFORMAT </w:instrText>
        </w:r>
        <w:r>
          <w:fldChar w:fldCharType="separate"/>
        </w:r>
        <w:r w:rsidR="00435222">
          <w:rPr>
            <w:noProof/>
          </w:rPr>
          <w:t>4</w:t>
        </w:r>
        <w:r>
          <w:rPr>
            <w:noProof/>
          </w:rPr>
          <w:fldChar w:fldCharType="end"/>
        </w:r>
      </w:p>
    </w:sdtContent>
  </w:sdt>
  <w:p w:rsidR="00A57F32" w:rsidRDefault="00A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9D" w:rsidRDefault="00DC0A9D" w:rsidP="00A57F32">
      <w:pPr>
        <w:spacing w:after="0" w:line="240" w:lineRule="auto"/>
      </w:pPr>
      <w:r>
        <w:separator/>
      </w:r>
    </w:p>
  </w:footnote>
  <w:footnote w:type="continuationSeparator" w:id="0">
    <w:p w:rsidR="00DC0A9D" w:rsidRDefault="00DC0A9D" w:rsidP="00A57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247"/>
    <w:multiLevelType w:val="hybridMultilevel"/>
    <w:tmpl w:val="0E54F806"/>
    <w:lvl w:ilvl="0" w:tplc="C4E4F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51B"/>
    <w:multiLevelType w:val="hybridMultilevel"/>
    <w:tmpl w:val="DA3491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118C"/>
    <w:multiLevelType w:val="hybridMultilevel"/>
    <w:tmpl w:val="9D52FF5C"/>
    <w:lvl w:ilvl="0" w:tplc="C4E4F7F8">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02FAF"/>
    <w:multiLevelType w:val="hybridMultilevel"/>
    <w:tmpl w:val="1FF68F3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DC717E7"/>
    <w:multiLevelType w:val="hybridMultilevel"/>
    <w:tmpl w:val="5B22AEC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608D"/>
    <w:multiLevelType w:val="hybridMultilevel"/>
    <w:tmpl w:val="A3AA44EE"/>
    <w:lvl w:ilvl="0" w:tplc="317A944A">
      <w:start w:val="28"/>
      <w:numFmt w:val="bullet"/>
      <w:lvlText w:val="-"/>
      <w:lvlJc w:val="left"/>
      <w:pPr>
        <w:ind w:left="720" w:hanging="360"/>
      </w:pPr>
      <w:rPr>
        <w:rFonts w:ascii="Calibri" w:eastAsiaTheme="minorEastAsia"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30CCE"/>
    <w:multiLevelType w:val="hybridMultilevel"/>
    <w:tmpl w:val="DB282D3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43459"/>
    <w:multiLevelType w:val="hybridMultilevel"/>
    <w:tmpl w:val="E37A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3541E"/>
    <w:multiLevelType w:val="hybridMultilevel"/>
    <w:tmpl w:val="A176C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6B4B"/>
    <w:multiLevelType w:val="hybridMultilevel"/>
    <w:tmpl w:val="B5946D8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93E8C"/>
    <w:multiLevelType w:val="hybridMultilevel"/>
    <w:tmpl w:val="8840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205"/>
    <w:multiLevelType w:val="hybridMultilevel"/>
    <w:tmpl w:val="3CA4CD9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51044"/>
    <w:multiLevelType w:val="hybridMultilevel"/>
    <w:tmpl w:val="4E163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C1C30"/>
    <w:multiLevelType w:val="hybridMultilevel"/>
    <w:tmpl w:val="022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172AF"/>
    <w:multiLevelType w:val="hybridMultilevel"/>
    <w:tmpl w:val="291CA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134F6"/>
    <w:multiLevelType w:val="hybridMultilevel"/>
    <w:tmpl w:val="4632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B316E"/>
    <w:multiLevelType w:val="hybridMultilevel"/>
    <w:tmpl w:val="0D9A0DB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C2A"/>
    <w:multiLevelType w:val="hybridMultilevel"/>
    <w:tmpl w:val="CB5AB02C"/>
    <w:lvl w:ilvl="0" w:tplc="08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070BC"/>
    <w:multiLevelType w:val="hybridMultilevel"/>
    <w:tmpl w:val="75F005D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57646"/>
    <w:multiLevelType w:val="hybridMultilevel"/>
    <w:tmpl w:val="5B902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32FDD"/>
    <w:multiLevelType w:val="hybridMultilevel"/>
    <w:tmpl w:val="52D05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067C8"/>
    <w:multiLevelType w:val="hybridMultilevel"/>
    <w:tmpl w:val="5D642B0C"/>
    <w:lvl w:ilvl="0" w:tplc="C4E4F7F8">
      <w:numFmt w:val="bullet"/>
      <w:lvlText w:val="-"/>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E6784"/>
    <w:multiLevelType w:val="hybridMultilevel"/>
    <w:tmpl w:val="3CA4CD9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E5665"/>
    <w:multiLevelType w:val="hybridMultilevel"/>
    <w:tmpl w:val="F2BEFA82"/>
    <w:lvl w:ilvl="0" w:tplc="B1D60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6977"/>
    <w:multiLevelType w:val="hybridMultilevel"/>
    <w:tmpl w:val="71AEB2B2"/>
    <w:lvl w:ilvl="0" w:tplc="317A944A">
      <w:start w:val="2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04610C"/>
    <w:multiLevelType w:val="multilevel"/>
    <w:tmpl w:val="D9BEF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991B57"/>
    <w:multiLevelType w:val="hybridMultilevel"/>
    <w:tmpl w:val="FACE4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2676A"/>
    <w:multiLevelType w:val="hybridMultilevel"/>
    <w:tmpl w:val="45CAE934"/>
    <w:lvl w:ilvl="0" w:tplc="C4E4F7F8">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C6E4E"/>
    <w:multiLevelType w:val="hybridMultilevel"/>
    <w:tmpl w:val="DEB665B6"/>
    <w:lvl w:ilvl="0" w:tplc="317A944A">
      <w:start w:val="28"/>
      <w:numFmt w:val="bullet"/>
      <w:lvlText w:val="-"/>
      <w:lvlJc w:val="left"/>
      <w:pPr>
        <w:ind w:left="720" w:hanging="360"/>
      </w:pPr>
      <w:rPr>
        <w:rFonts w:ascii="Calibri" w:eastAsiaTheme="minorEastAsia"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6"/>
  </w:num>
  <w:num w:numId="4">
    <w:abstractNumId w:val="26"/>
  </w:num>
  <w:num w:numId="5">
    <w:abstractNumId w:val="24"/>
  </w:num>
  <w:num w:numId="6">
    <w:abstractNumId w:val="11"/>
  </w:num>
  <w:num w:numId="7">
    <w:abstractNumId w:val="5"/>
  </w:num>
  <w:num w:numId="8">
    <w:abstractNumId w:val="28"/>
  </w:num>
  <w:num w:numId="9">
    <w:abstractNumId w:val="1"/>
  </w:num>
  <w:num w:numId="10">
    <w:abstractNumId w:val="25"/>
  </w:num>
  <w:num w:numId="11">
    <w:abstractNumId w:val="4"/>
  </w:num>
  <w:num w:numId="12">
    <w:abstractNumId w:val="2"/>
  </w:num>
  <w:num w:numId="13">
    <w:abstractNumId w:val="21"/>
  </w:num>
  <w:num w:numId="14">
    <w:abstractNumId w:val="27"/>
  </w:num>
  <w:num w:numId="15">
    <w:abstractNumId w:val="0"/>
  </w:num>
  <w:num w:numId="16">
    <w:abstractNumId w:val="20"/>
  </w:num>
  <w:num w:numId="17">
    <w:abstractNumId w:val="22"/>
  </w:num>
  <w:num w:numId="18">
    <w:abstractNumId w:val="19"/>
  </w:num>
  <w:num w:numId="19">
    <w:abstractNumId w:val="16"/>
  </w:num>
  <w:num w:numId="20">
    <w:abstractNumId w:val="12"/>
  </w:num>
  <w:num w:numId="21">
    <w:abstractNumId w:val="17"/>
  </w:num>
  <w:num w:numId="22">
    <w:abstractNumId w:val="18"/>
  </w:num>
  <w:num w:numId="23">
    <w:abstractNumId w:val="9"/>
  </w:num>
  <w:num w:numId="24">
    <w:abstractNumId w:val="8"/>
  </w:num>
  <w:num w:numId="25">
    <w:abstractNumId w:val="15"/>
  </w:num>
  <w:num w:numId="26">
    <w:abstractNumId w:val="10"/>
  </w:num>
  <w:num w:numId="27">
    <w:abstractNumId w:val="13"/>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FC"/>
    <w:rsid w:val="00020C85"/>
    <w:rsid w:val="00051BC7"/>
    <w:rsid w:val="0006321F"/>
    <w:rsid w:val="00071EBB"/>
    <w:rsid w:val="000934E3"/>
    <w:rsid w:val="000C11C3"/>
    <w:rsid w:val="000E1B94"/>
    <w:rsid w:val="001360DF"/>
    <w:rsid w:val="001638DC"/>
    <w:rsid w:val="0019537B"/>
    <w:rsid w:val="001B4A57"/>
    <w:rsid w:val="001C2EB0"/>
    <w:rsid w:val="001F4E84"/>
    <w:rsid w:val="0021355E"/>
    <w:rsid w:val="002704FC"/>
    <w:rsid w:val="002D2859"/>
    <w:rsid w:val="002E1304"/>
    <w:rsid w:val="00326743"/>
    <w:rsid w:val="00357EB1"/>
    <w:rsid w:val="00373B4A"/>
    <w:rsid w:val="0038524C"/>
    <w:rsid w:val="003B11E4"/>
    <w:rsid w:val="003E1366"/>
    <w:rsid w:val="00435222"/>
    <w:rsid w:val="004946E6"/>
    <w:rsid w:val="004A3A99"/>
    <w:rsid w:val="00512806"/>
    <w:rsid w:val="00534E1B"/>
    <w:rsid w:val="0055556D"/>
    <w:rsid w:val="0055706D"/>
    <w:rsid w:val="00572FBA"/>
    <w:rsid w:val="00573F9C"/>
    <w:rsid w:val="005A058B"/>
    <w:rsid w:val="005A2181"/>
    <w:rsid w:val="005E0F90"/>
    <w:rsid w:val="00631258"/>
    <w:rsid w:val="006655AF"/>
    <w:rsid w:val="00675696"/>
    <w:rsid w:val="006B3113"/>
    <w:rsid w:val="006E3F44"/>
    <w:rsid w:val="00703B7A"/>
    <w:rsid w:val="00750E67"/>
    <w:rsid w:val="00765351"/>
    <w:rsid w:val="007A1195"/>
    <w:rsid w:val="007F532E"/>
    <w:rsid w:val="008454AA"/>
    <w:rsid w:val="008754C1"/>
    <w:rsid w:val="00890F2D"/>
    <w:rsid w:val="008E3109"/>
    <w:rsid w:val="008F46EB"/>
    <w:rsid w:val="00A064E8"/>
    <w:rsid w:val="00A24F07"/>
    <w:rsid w:val="00A57F32"/>
    <w:rsid w:val="00A7070B"/>
    <w:rsid w:val="00AD39C4"/>
    <w:rsid w:val="00AD4DED"/>
    <w:rsid w:val="00B94777"/>
    <w:rsid w:val="00B964D4"/>
    <w:rsid w:val="00C13065"/>
    <w:rsid w:val="00C13247"/>
    <w:rsid w:val="00CA1F3D"/>
    <w:rsid w:val="00D52D8B"/>
    <w:rsid w:val="00D80679"/>
    <w:rsid w:val="00DB01DC"/>
    <w:rsid w:val="00DC0A9D"/>
    <w:rsid w:val="00DC306C"/>
    <w:rsid w:val="00DE545B"/>
    <w:rsid w:val="00E1369B"/>
    <w:rsid w:val="00E13788"/>
    <w:rsid w:val="00E279BA"/>
    <w:rsid w:val="00E80F30"/>
    <w:rsid w:val="00EA3948"/>
    <w:rsid w:val="00EF392F"/>
    <w:rsid w:val="00F55103"/>
    <w:rsid w:val="00F841BE"/>
    <w:rsid w:val="00FA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B76005"/>
  <w15:docId w15:val="{F649950B-2145-4325-BC73-EDF5CF1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4F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FC"/>
    <w:pPr>
      <w:spacing w:after="0" w:line="240" w:lineRule="auto"/>
      <w:ind w:left="720"/>
      <w:contextualSpacing/>
    </w:pPr>
    <w:rPr>
      <w:rFonts w:eastAsiaTheme="minorEastAsia"/>
      <w:sz w:val="24"/>
      <w:szCs w:val="24"/>
      <w:lang w:val="en-US"/>
    </w:rPr>
  </w:style>
  <w:style w:type="paragraph" w:styleId="NoSpacing">
    <w:name w:val="No Spacing"/>
    <w:link w:val="NoSpacingChar"/>
    <w:uiPriority w:val="1"/>
    <w:qFormat/>
    <w:rsid w:val="001B4A57"/>
    <w:pPr>
      <w:spacing w:after="0" w:line="240" w:lineRule="auto"/>
    </w:pPr>
    <w:rPr>
      <w:rFonts w:ascii="Calibri" w:eastAsia="Calibri" w:hAnsi="Calibri" w:cs="Times New Roman"/>
      <w:lang w:val="en-GB"/>
    </w:rPr>
  </w:style>
  <w:style w:type="character" w:customStyle="1" w:styleId="NoSpacingChar">
    <w:name w:val="No Spacing Char"/>
    <w:link w:val="NoSpacing"/>
    <w:uiPriority w:val="1"/>
    <w:locked/>
    <w:rsid w:val="001B4A57"/>
    <w:rPr>
      <w:rFonts w:ascii="Calibri" w:eastAsia="Calibri" w:hAnsi="Calibri" w:cs="Times New Roman"/>
      <w:lang w:val="en-GB"/>
    </w:rPr>
  </w:style>
  <w:style w:type="paragraph" w:styleId="BalloonText">
    <w:name w:val="Balloon Text"/>
    <w:basedOn w:val="Normal"/>
    <w:link w:val="BalloonTextChar"/>
    <w:uiPriority w:val="99"/>
    <w:semiHidden/>
    <w:unhideWhenUsed/>
    <w:rsid w:val="00A5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32"/>
    <w:rPr>
      <w:rFonts w:ascii="Tahoma" w:hAnsi="Tahoma" w:cs="Tahoma"/>
      <w:sz w:val="16"/>
      <w:szCs w:val="16"/>
      <w:lang w:val="en-GB"/>
    </w:rPr>
  </w:style>
  <w:style w:type="paragraph" w:styleId="Header">
    <w:name w:val="header"/>
    <w:basedOn w:val="Normal"/>
    <w:link w:val="HeaderChar"/>
    <w:uiPriority w:val="99"/>
    <w:unhideWhenUsed/>
    <w:rsid w:val="00A5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32"/>
    <w:rPr>
      <w:lang w:val="en-GB"/>
    </w:rPr>
  </w:style>
  <w:style w:type="paragraph" w:styleId="Footer">
    <w:name w:val="footer"/>
    <w:basedOn w:val="Normal"/>
    <w:link w:val="FooterChar"/>
    <w:uiPriority w:val="99"/>
    <w:unhideWhenUsed/>
    <w:rsid w:val="00A5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2017-09-05T12:00:00+00:00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SLE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1629</Value>
      <Value>227</Value>
      <Value>1107</Value>
      <Value>1</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Approved</UndpDocStatus>
    <Outcome1 xmlns="f1161f5b-24a3-4c2d-bc81-44cb9325e8ee">Output 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ATLASPDC-4-68462</_dlc_DocId>
    <_dlc_DocIdUrl xmlns="f1161f5b-24a3-4c2d-bc81-44cb9325e8ee">
      <Url>https://info.undp.org/docs/pdc/_layouts/DocIdRedir.aspx?ID=ATLASPDC-4-68462</Url>
      <Description>ATLASPDC-4-68462</Description>
    </_dlc_DocIdUrl>
    <Document_x0020_Coverage_x0020_Period_x0020_Start_x0020_Date xmlns="f1161f5b-24a3-4c2d-bc81-44cb9325e8ee">2017-07-25T04:00:00+00:00</Document_x0020_Coverage_x0020_Period_x0020_Start_x0020_Date>
    <Document_x0020_Coverage_x0020_Period_x0020_End_x0020_Date xmlns="f1161f5b-24a3-4c2d-bc81-44cb9325e8ee">2017-07-30T04:00:00+00:00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7D5219-5239-4330-8E26-74D66D6A1BDA}"/>
</file>

<file path=customXml/itemProps2.xml><?xml version="1.0" encoding="utf-8"?>
<ds:datastoreItem xmlns:ds="http://schemas.openxmlformats.org/officeDocument/2006/customXml" ds:itemID="{A6C8AC38-4D2A-4CB2-BD89-5661707C1F1B}"/>
</file>

<file path=customXml/itemProps3.xml><?xml version="1.0" encoding="utf-8"?>
<ds:datastoreItem xmlns:ds="http://schemas.openxmlformats.org/officeDocument/2006/customXml" ds:itemID="{B540011C-BCFD-43E9-A6D2-342BC3EF26C9}"/>
</file>

<file path=customXml/itemProps4.xml><?xml version="1.0" encoding="utf-8"?>
<ds:datastoreItem xmlns:ds="http://schemas.openxmlformats.org/officeDocument/2006/customXml" ds:itemID="{77949975-6EDE-4FEF-8D08-D5C04A1E6322}"/>
</file>

<file path=customXml/itemProps5.xml><?xml version="1.0" encoding="utf-8"?>
<ds:datastoreItem xmlns:ds="http://schemas.openxmlformats.org/officeDocument/2006/customXml" ds:itemID="{A87AD224-EE91-4BD3-89D9-7F7106E714FA}"/>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Town Hall Meetings Promoting Transparency in Sierra Leone's Judiciary</dc:title>
  <dc:subject/>
  <dc:creator>Walter Neba and Louise Aaen</dc:creator>
  <cp:lastModifiedBy>Louise Aaen</cp:lastModifiedBy>
  <cp:revision>2</cp:revision>
  <dcterms:created xsi:type="dcterms:W3CDTF">2017-09-01T14:16:00Z</dcterms:created>
  <dcterms:modified xsi:type="dcterms:W3CDTF">2017-09-01T14:16:00Z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3c95fc60-a5aa-4889-a527-74063d4059ff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